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2400"/>
        <w:jc w:val="left"/>
      </w:pPr>
      <w:r>
        <w:rPr>
          <w:rFonts w:ascii="Calibri" w:cs="Calibri" w:eastAsia="Calibri" w:hAnsi="Calibri"/>
          <w:b/>
          <w:bCs/>
          <w:color w:val="C9A961"/>
          <w:spacing w:val="80"/>
          <w:sz w:val="18"/>
          <w:szCs w:val="18"/>
        </w:rPr>
        <w:t xml:space="preserve">CONFIDENTIAL · DRAFT v1.0</w:t>
      </w:r>
    </w:p>
    <w:p>
      <w:pPr>
        <w:spacing w:after="240" w:before="240"/>
      </w:pPr>
      <w:r>
        <w:rPr>
          <w:rFonts w:ascii="Georgia" w:cs="Georgia" w:eastAsia="Georgia" w:hAnsi="Georgia"/>
          <w:b/>
          <w:bCs/>
          <w:color w:val="990011"/>
          <w:sz w:val="96"/>
          <w:szCs w:val="96"/>
        </w:rPr>
        <w:t xml:space="preserve">RED CHILI</w:t>
      </w:r>
    </w:p>
    <w:p>
      <w:pPr>
        <w:spacing w:after="480" w:before="0"/>
      </w:pPr>
      <w:r>
        <w:rPr>
          <w:rFonts w:ascii="Georgia" w:cs="Georgia" w:eastAsia="Georgia" w:hAnsi="Georgia"/>
          <w:color w:val="1A1A1A"/>
          <w:sz w:val="48"/>
          <w:szCs w:val="48"/>
        </w:rPr>
        <w:t xml:space="preserve">Franchise Operations Manual</w:t>
      </w:r>
    </w:p>
    <w:p>
      <w:pPr>
        <w:spacing w:after="120" w:before="240"/>
      </w:pPr>
      <w:r>
        <w:rPr>
          <w:rFonts w:ascii="Calibri" w:cs="Calibri" w:eastAsia="Calibri" w:hAnsi="Calibri"/>
          <w:color w:val="6B6B6B"/>
          <w:sz w:val="24"/>
          <w:szCs w:val="24"/>
        </w:rPr>
        <w:t xml:space="preserve">The standards, systems, and procedures that turn a great restaurant into a global brand.</w:t>
      </w:r>
    </w:p>
    <w:p>
      <w:pPr>
        <w:spacing w:after="2400" w:before="2400"/>
      </w:pPr>
      <w:r>
        <w:t xml:space="preserve"/>
      </w:r>
    </w:p>
    <w:p>
      <w:r>
        <w:rPr>
          <w:rFonts w:ascii="Calibri" w:cs="Calibri" w:eastAsia="Calibri" w:hAnsi="Calibri"/>
          <w:b/>
          <w:bCs/>
          <w:color w:val="990011"/>
          <w:sz w:val="22"/>
          <w:szCs w:val="22"/>
        </w:rPr>
        <w:t xml:space="preserve">Issued by:  </w:t>
      </w:r>
      <w:r>
        <w:rPr>
          <w:rFonts w:ascii="Calibri" w:cs="Calibri" w:eastAsia="Calibri" w:hAnsi="Calibri"/>
          <w:sz w:val="22"/>
          <w:szCs w:val="22"/>
        </w:rPr>
        <w:t xml:space="preserve">Red Chili Group · Riyadh, Kingdom of Saudi Arabia</w:t>
      </w:r>
    </w:p>
    <w:p>
      <w:r>
        <w:rPr>
          <w:rFonts w:ascii="Calibri" w:cs="Calibri" w:eastAsia="Calibri" w:hAnsi="Calibri"/>
          <w:b/>
          <w:bCs/>
          <w:color w:val="990011"/>
          <w:sz w:val="22"/>
          <w:szCs w:val="22"/>
        </w:rPr>
        <w:t xml:space="preserve">In partnership with:  </w:t>
      </w:r>
      <w:r>
        <w:rPr>
          <w:rFonts w:ascii="Calibri" w:cs="Calibri" w:eastAsia="Calibri" w:hAnsi="Calibri"/>
          <w:sz w:val="22"/>
          <w:szCs w:val="22"/>
        </w:rPr>
        <w:t xml:space="preserve">NTT Groups · World Business Groups · Vivid Verse Global UK</w:t>
      </w:r>
    </w:p>
    <w:p>
      <w:r>
        <w:rPr>
          <w:rFonts w:ascii="Calibri" w:cs="Calibri" w:eastAsia="Calibri" w:hAnsi="Calibri"/>
          <w:b/>
          <w:bCs/>
          <w:color w:val="990011"/>
          <w:sz w:val="22"/>
          <w:szCs w:val="22"/>
        </w:rPr>
        <w:t xml:space="preserve">Document version:  </w:t>
      </w:r>
      <w:r>
        <w:rPr>
          <w:rFonts w:ascii="Calibri" w:cs="Calibri" w:eastAsia="Calibri" w:hAnsi="Calibri"/>
          <w:sz w:val="22"/>
          <w:szCs w:val="22"/>
        </w:rPr>
        <w:t xml:space="preserve">1.0 (Draft) · May 2026</w:t>
      </w:r>
    </w:p>
    <w:p>
      <w:pPr>
        <w:spacing w:after="360" w:before="360"/>
      </w:pPr>
      <w:r>
        <w:t xml:space="preserve"/>
      </w:r>
    </w:p>
    <w:p>
      <w:pPr>
        <w:pBdr>
          <w:top w:val="single" w:color="990011" w:sz="12" w:space="8"/>
        </w:pBdr>
        <w:spacing w:after="0" w:before="240"/>
      </w:pPr>
      <w:r>
        <w:rPr>
          <w:sz w:val="14"/>
          <w:szCs w:val="14"/>
        </w:rPr>
        <w:t xml:space="preserve"/>
      </w:r>
    </w:p>
    <w:p>
      <w:pPr>
        <w:spacing w:before="240"/>
      </w:pPr>
      <w:r>
        <w:rPr>
          <w:rFonts w:ascii="Calibri" w:cs="Calibri" w:eastAsia="Calibri" w:hAnsi="Calibri"/>
          <w:color w:val="6B6B6B"/>
          <w:sz w:val="18"/>
          <w:szCs w:val="18"/>
        </w:rPr>
        <w:t xml:space="preserve">This manual is the proprietary intellectual property of Red Chili Group. It must not be copied, shared, or used outside the scope of an executed franchise agreement. Unauthorized distribution is grounds for termination of franchise rights and legal action under KSA Commercial Law.</w:t>
      </w:r>
    </w:p>
    <w:p>
      <w:r>
        <w:br w:type="page"/>
      </w:r>
    </w:p>
    <w:p>
      <w:pPr>
        <w:pStyle w:val="Heading1"/>
        <w:spacing w:after="240" w:before="480"/>
      </w:pPr>
      <w:r>
        <w:rPr>
          <w:rFonts w:ascii="Georgia" w:cs="Georgia" w:eastAsia="Georgia" w:hAnsi="Georgia"/>
          <w:b/>
          <w:bCs/>
          <w:color w:val="990011"/>
          <w:sz w:val="36"/>
          <w:szCs w:val="36"/>
        </w:rPr>
        <w:t xml:space="preserve">About This Manual</w:t>
      </w:r>
    </w:p>
    <w:p>
      <w:pPr>
        <w:spacing w:after="120" w:line="300"/>
      </w:pPr>
      <w:r>
        <w:rPr>
          <w:rFonts w:ascii="Calibri" w:cs="Calibri" w:eastAsia="Calibri" w:hAnsi="Calibri"/>
          <w:sz w:val="22"/>
          <w:szCs w:val="22"/>
        </w:rPr>
        <w:t xml:space="preserve">This manual sets out the operating standards every Red Chili franchisee must follow. It is not a sales document, a recipe book, or a marketing brochure. It is the rulebook that protects the brand, the customer, and every other franchisee in the network.</w:t>
      </w:r>
    </w:p>
    <w:p>
      <w:pPr>
        <w:pBdr>
          <w:left w:val="single" w:color="990011" w:sz="24" w:space="12"/>
        </w:pBdr>
        <w:spacing w:after="180" w:before="180" w:line="300"/>
        <w:ind w:left="720" w:right="720"/>
      </w:pPr>
      <w:r>
        <w:rPr>
          <w:rFonts w:ascii="Calibri" w:cs="Calibri" w:eastAsia="Calibri" w:hAnsi="Calibri"/>
          <w:color w:val="1A1A1A"/>
          <w:sz w:val="22"/>
          <w:szCs w:val="22"/>
        </w:rPr>
        <w:t xml:space="preserve">If a customer cannot tell the difference between a Red Chili in Riyadh, Dubai, or Lahore — except for things they would naturally expect to differ — this manual has done its job.</w:t>
      </w:r>
    </w:p>
    <w:p>
      <w:pPr>
        <w:pStyle w:val="Heading2"/>
        <w:spacing w:after="180" w:before="360"/>
      </w:pPr>
      <w:r>
        <w:rPr>
          <w:rFonts w:ascii="Georgia" w:cs="Georgia" w:eastAsia="Georgia" w:hAnsi="Georgia"/>
          <w:b/>
          <w:bCs/>
          <w:color w:val="990011"/>
          <w:sz w:val="26"/>
          <w:szCs w:val="26"/>
        </w:rPr>
        <w:t xml:space="preserve">Manual scope and version control</w:t>
      </w:r>
    </w:p>
    <w:p>
      <w:pPr>
        <w:spacing w:after="120" w:line="300"/>
      </w:pPr>
      <w:r>
        <w:rPr>
          <w:rFonts w:ascii="Calibri" w:cs="Calibri" w:eastAsia="Calibri" w:hAnsi="Calibri"/>
          <w:sz w:val="22"/>
          <w:szCs w:val="22"/>
        </w:rPr>
        <w:t xml:space="preserve">This is version 1.0, issued in May 2026 as a draft. It is intended for internal review and franchise prospect discussions only. It is not yet operational. The manual will be re-issued as v2.0 (Operational) only after the Saudi flagship validates the systems described here and the trademark position has been verified across target countries.</w:t>
      </w:r>
    </w:p>
    <w:p>
      <w:pPr>
        <w:spacing w:after="120" w:line="300"/>
      </w:pPr>
      <w:r>
        <w:rPr>
          <w:rFonts w:ascii="Calibri" w:cs="Calibri" w:eastAsia="Calibri" w:hAnsi="Calibri"/>
          <w:sz w:val="22"/>
          <w:szCs w:val="22"/>
        </w:rPr>
        <w:t xml:space="preserve">Updates to this manual are issued by Red Chili Group's Franchise Development Office. Franchisees will be notified via the Franchise Master ERP. Material changes to operating standards require 90 days' notice; minor clarifications are immediate.</w:t>
      </w:r>
    </w:p>
    <w:p>
      <w:pPr>
        <w:pStyle w:val="Heading2"/>
        <w:spacing w:after="180" w:before="360"/>
      </w:pPr>
      <w:r>
        <w:rPr>
          <w:rFonts w:ascii="Georgia" w:cs="Georgia" w:eastAsia="Georgia" w:hAnsi="Georgia"/>
          <w:b/>
          <w:bCs/>
          <w:color w:val="990011"/>
          <w:sz w:val="26"/>
          <w:szCs w:val="26"/>
        </w:rPr>
        <w:t xml:space="preserve">Who must follow this manual</w:t>
      </w:r>
    </w:p>
    <w:p>
      <w:pPr>
        <w:pStyle w:val="ListParagraph"/>
        <w:numPr>
          <w:ilvl w:val="0"/>
          <w:numId w:val="2"/>
        </w:numPr>
        <w:spacing w:after="80" w:line="280"/>
      </w:pPr>
      <w:r>
        <w:rPr>
          <w:rFonts w:ascii="Calibri" w:cs="Calibri" w:eastAsia="Calibri" w:hAnsi="Calibri"/>
          <w:sz w:val="22"/>
          <w:szCs w:val="22"/>
        </w:rPr>
        <w:t xml:space="preserve">Every franchisee, master franchisee, and area developer who has signed a Red Chili franchise agreement.</w:t>
      </w:r>
    </w:p>
    <w:p>
      <w:pPr>
        <w:pStyle w:val="ListParagraph"/>
        <w:numPr>
          <w:ilvl w:val="0"/>
          <w:numId w:val="2"/>
        </w:numPr>
        <w:spacing w:after="80" w:line="280"/>
      </w:pPr>
      <w:r>
        <w:rPr>
          <w:rFonts w:ascii="Calibri" w:cs="Calibri" w:eastAsia="Calibri" w:hAnsi="Calibri"/>
          <w:sz w:val="22"/>
          <w:szCs w:val="22"/>
        </w:rPr>
        <w:t xml:space="preserve">Every employee, contractor, or supplier working in or for a franchised Red Chili unit.</w:t>
      </w:r>
    </w:p>
    <w:p>
      <w:pPr>
        <w:pStyle w:val="ListParagraph"/>
        <w:numPr>
          <w:ilvl w:val="0"/>
          <w:numId w:val="2"/>
        </w:numPr>
        <w:spacing w:after="80" w:line="280"/>
      </w:pPr>
      <w:r>
        <w:rPr>
          <w:rFonts w:ascii="Calibri" w:cs="Calibri" w:eastAsia="Calibri" w:hAnsi="Calibri"/>
          <w:sz w:val="22"/>
          <w:szCs w:val="22"/>
        </w:rPr>
        <w:t xml:space="preserve">Every Red Chili-owned corporate unit (no exceptions — corporate units must be exemplary).</w:t>
      </w:r>
    </w:p>
    <w:p>
      <w:pPr>
        <w:pStyle w:val="Heading2"/>
        <w:spacing w:after="180" w:before="360"/>
      </w:pPr>
      <w:r>
        <w:rPr>
          <w:rFonts w:ascii="Georgia" w:cs="Georgia" w:eastAsia="Georgia" w:hAnsi="Georgia"/>
          <w:b/>
          <w:bCs/>
          <w:color w:val="990011"/>
          <w:sz w:val="26"/>
          <w:szCs w:val="26"/>
        </w:rPr>
        <w:t xml:space="preserve">How to use this manual</w:t>
      </w:r>
    </w:p>
    <w:p>
      <w:pPr>
        <w:spacing w:after="120" w:line="300"/>
      </w:pPr>
      <w:r>
        <w:rPr>
          <w:rFonts w:ascii="Calibri" w:cs="Calibri" w:eastAsia="Calibri" w:hAnsi="Calibri"/>
          <w:sz w:val="22"/>
          <w:szCs w:val="22"/>
        </w:rPr>
        <w:t xml:space="preserve">Read the relevant section before opening a franchise. Keep a current copy accessible to all senior staff. Use the section numbers when raising support tickets in the Franchise ERP. Disputes are resolved by reference to the specific clause cited.</w:t>
      </w:r>
    </w:p>
    <w:p>
      <w:r>
        <w:br w:type="page"/>
      </w:r>
    </w:p>
    <w:p>
      <w:pPr>
        <w:pStyle w:val="Heading1"/>
        <w:spacing w:after="240" w:before="480"/>
      </w:pPr>
      <w:r>
        <w:rPr>
          <w:rFonts w:ascii="Georgia" w:cs="Georgia" w:eastAsia="Georgia" w:hAnsi="Georgia"/>
          <w:b/>
          <w:bCs/>
          <w:color w:val="990011"/>
          <w:sz w:val="36"/>
          <w:szCs w:val="36"/>
        </w:rPr>
        <w:t xml:space="preserve">Table of Contents</w:t>
      </w:r>
    </w:p>
    <w:p>
      <w:pPr>
        <w:tabs>
          <w:tab w:val="left" w:pos="720"/>
        </w:tabs>
        <w:spacing w:after="100"/>
      </w:pPr>
      <w:r>
        <w:rPr>
          <w:rFonts w:ascii="Calibri" w:cs="Calibri" w:eastAsia="Calibri" w:hAnsi="Calibri"/>
          <w:b/>
          <w:bCs/>
          <w:color w:val="990011"/>
          <w:sz w:val="22"/>
          <w:szCs w:val="22"/>
        </w:rPr>
        <w:t xml:space="preserve">1.	</w:t>
      </w:r>
      <w:r>
        <w:rPr>
          <w:rFonts w:ascii="Calibri" w:cs="Calibri" w:eastAsia="Calibri" w:hAnsi="Calibri"/>
          <w:b/>
          <w:bCs/>
          <w:sz w:val="22"/>
          <w:szCs w:val="22"/>
        </w:rPr>
        <w:t xml:space="preserve">Brand Foundations</w:t>
      </w:r>
      <w:r>
        <w:rPr>
          <w:rFonts w:ascii="Calibri" w:cs="Calibri" w:eastAsia="Calibri" w:hAnsi="Calibri"/>
          <w:color w:val="6B6B6B"/>
          <w:sz w:val="20"/>
          <w:szCs w:val="20"/>
        </w:rPr>
        <w:t xml:space="preserve">  —  What Red Chili stands for and why.</w:t>
      </w:r>
    </w:p>
    <w:p>
      <w:pPr>
        <w:tabs>
          <w:tab w:val="left" w:pos="720"/>
        </w:tabs>
        <w:spacing w:after="100"/>
      </w:pPr>
      <w:r>
        <w:rPr>
          <w:rFonts w:ascii="Calibri" w:cs="Calibri" w:eastAsia="Calibri" w:hAnsi="Calibri"/>
          <w:b/>
          <w:bCs/>
          <w:color w:val="990011"/>
          <w:sz w:val="22"/>
          <w:szCs w:val="22"/>
        </w:rPr>
        <w:t xml:space="preserve">2.	</w:t>
      </w:r>
      <w:r>
        <w:rPr>
          <w:rFonts w:ascii="Calibri" w:cs="Calibri" w:eastAsia="Calibri" w:hAnsi="Calibri"/>
          <w:b/>
          <w:bCs/>
          <w:sz w:val="22"/>
          <w:szCs w:val="22"/>
        </w:rPr>
        <w:t xml:space="preserve">Sub-Brand Architecture</w:t>
      </w:r>
      <w:r>
        <w:rPr>
          <w:rFonts w:ascii="Calibri" w:cs="Calibri" w:eastAsia="Calibri" w:hAnsi="Calibri"/>
          <w:color w:val="6B6B6B"/>
          <w:sz w:val="20"/>
          <w:szCs w:val="20"/>
        </w:rPr>
        <w:t xml:space="preserve">  —  Family · Express · Snack Corner · Tea Stall.</w:t>
      </w:r>
    </w:p>
    <w:p>
      <w:pPr>
        <w:tabs>
          <w:tab w:val="left" w:pos="720"/>
        </w:tabs>
        <w:spacing w:after="100"/>
      </w:pPr>
      <w:r>
        <w:rPr>
          <w:rFonts w:ascii="Calibri" w:cs="Calibri" w:eastAsia="Calibri" w:hAnsi="Calibri"/>
          <w:b/>
          <w:bCs/>
          <w:color w:val="990011"/>
          <w:sz w:val="22"/>
          <w:szCs w:val="22"/>
        </w:rPr>
        <w:t xml:space="preserve">3.	</w:t>
      </w:r>
      <w:r>
        <w:rPr>
          <w:rFonts w:ascii="Calibri" w:cs="Calibri" w:eastAsia="Calibri" w:hAnsi="Calibri"/>
          <w:b/>
          <w:bCs/>
          <w:sz w:val="22"/>
          <w:szCs w:val="22"/>
        </w:rPr>
        <w:t xml:space="preserve">Site Selection &amp;  Approval</w:t>
      </w:r>
      <w:r>
        <w:rPr>
          <w:rFonts w:ascii="Calibri" w:cs="Calibri" w:eastAsia="Calibri" w:hAnsi="Calibri"/>
          <w:color w:val="6B6B6B"/>
          <w:sz w:val="20"/>
          <w:szCs w:val="20"/>
        </w:rPr>
        <w:t xml:space="preserve">  —  Where you can and cannot open a Red Chili.</w:t>
      </w:r>
    </w:p>
    <w:p>
      <w:pPr>
        <w:tabs>
          <w:tab w:val="left" w:pos="720"/>
        </w:tabs>
        <w:spacing w:after="100"/>
      </w:pPr>
      <w:r>
        <w:rPr>
          <w:rFonts w:ascii="Calibri" w:cs="Calibri" w:eastAsia="Calibri" w:hAnsi="Calibri"/>
          <w:b/>
          <w:bCs/>
          <w:color w:val="990011"/>
          <w:sz w:val="22"/>
          <w:szCs w:val="22"/>
        </w:rPr>
        <w:t xml:space="preserve">4.	</w:t>
      </w:r>
      <w:r>
        <w:rPr>
          <w:rFonts w:ascii="Calibri" w:cs="Calibri" w:eastAsia="Calibri" w:hAnsi="Calibri"/>
          <w:b/>
          <w:bCs/>
          <w:sz w:val="22"/>
          <w:szCs w:val="22"/>
        </w:rPr>
        <w:t xml:space="preserve">Fit-Out Standards</w:t>
      </w:r>
      <w:r>
        <w:rPr>
          <w:rFonts w:ascii="Calibri" w:cs="Calibri" w:eastAsia="Calibri" w:hAnsi="Calibri"/>
          <w:color w:val="6B6B6B"/>
          <w:sz w:val="20"/>
          <w:szCs w:val="20"/>
        </w:rPr>
        <w:t xml:space="preserve">  —  Look, feel, and physical build requirements.</w:t>
      </w:r>
    </w:p>
    <w:p>
      <w:pPr>
        <w:tabs>
          <w:tab w:val="left" w:pos="720"/>
        </w:tabs>
        <w:spacing w:after="100"/>
      </w:pPr>
      <w:r>
        <w:rPr>
          <w:rFonts w:ascii="Calibri" w:cs="Calibri" w:eastAsia="Calibri" w:hAnsi="Calibri"/>
          <w:b/>
          <w:bCs/>
          <w:color w:val="990011"/>
          <w:sz w:val="22"/>
          <w:szCs w:val="22"/>
        </w:rPr>
        <w:t xml:space="preserve">5.	</w:t>
      </w:r>
      <w:r>
        <w:rPr>
          <w:rFonts w:ascii="Calibri" w:cs="Calibri" w:eastAsia="Calibri" w:hAnsi="Calibri"/>
          <w:b/>
          <w:bCs/>
          <w:sz w:val="22"/>
          <w:szCs w:val="22"/>
        </w:rPr>
        <w:t xml:space="preserve">Menu &amp;  Recipe Standards</w:t>
      </w:r>
      <w:r>
        <w:rPr>
          <w:rFonts w:ascii="Calibri" w:cs="Calibri" w:eastAsia="Calibri" w:hAnsi="Calibri"/>
          <w:color w:val="6B6B6B"/>
          <w:sz w:val="20"/>
          <w:szCs w:val="20"/>
        </w:rPr>
        <w:t xml:space="preserve">  —  What you sell, how you cook it, what you can't change.</w:t>
      </w:r>
    </w:p>
    <w:p>
      <w:pPr>
        <w:tabs>
          <w:tab w:val="left" w:pos="720"/>
        </w:tabs>
        <w:spacing w:after="100"/>
      </w:pPr>
      <w:r>
        <w:rPr>
          <w:rFonts w:ascii="Calibri" w:cs="Calibri" w:eastAsia="Calibri" w:hAnsi="Calibri"/>
          <w:b/>
          <w:bCs/>
          <w:color w:val="990011"/>
          <w:sz w:val="22"/>
          <w:szCs w:val="22"/>
        </w:rPr>
        <w:t xml:space="preserve">6.	</w:t>
      </w:r>
      <w:r>
        <w:rPr>
          <w:rFonts w:ascii="Calibri" w:cs="Calibri" w:eastAsia="Calibri" w:hAnsi="Calibri"/>
          <w:b/>
          <w:bCs/>
          <w:sz w:val="22"/>
          <w:szCs w:val="22"/>
        </w:rPr>
        <w:t xml:space="preserve">Operating Procedures</w:t>
      </w:r>
      <w:r>
        <w:rPr>
          <w:rFonts w:ascii="Calibri" w:cs="Calibri" w:eastAsia="Calibri" w:hAnsi="Calibri"/>
          <w:color w:val="6B6B6B"/>
          <w:sz w:val="20"/>
          <w:szCs w:val="20"/>
        </w:rPr>
        <w:t xml:space="preserve">  —  Daily, weekly, monthly. From open to close.</w:t>
      </w:r>
    </w:p>
    <w:p>
      <w:pPr>
        <w:tabs>
          <w:tab w:val="left" w:pos="720"/>
        </w:tabs>
        <w:spacing w:after="100"/>
      </w:pPr>
      <w:r>
        <w:rPr>
          <w:rFonts w:ascii="Calibri" w:cs="Calibri" w:eastAsia="Calibri" w:hAnsi="Calibri"/>
          <w:b/>
          <w:bCs/>
          <w:color w:val="990011"/>
          <w:sz w:val="22"/>
          <w:szCs w:val="22"/>
        </w:rPr>
        <w:t xml:space="preserve">7.	</w:t>
      </w:r>
      <w:r>
        <w:rPr>
          <w:rFonts w:ascii="Calibri" w:cs="Calibri" w:eastAsia="Calibri" w:hAnsi="Calibri"/>
          <w:b/>
          <w:bCs/>
          <w:sz w:val="22"/>
          <w:szCs w:val="22"/>
        </w:rPr>
        <w:t xml:space="preserve">Staff &amp; Training</w:t>
      </w:r>
      <w:r>
        <w:rPr>
          <w:rFonts w:ascii="Calibri" w:cs="Calibri" w:eastAsia="Calibri" w:hAnsi="Calibri"/>
          <w:color w:val="6B6B6B"/>
          <w:sz w:val="20"/>
          <w:szCs w:val="20"/>
        </w:rPr>
        <w:t xml:space="preserve">  —  Hiring standards, training, Saudization, dress code.</w:t>
      </w:r>
    </w:p>
    <w:p>
      <w:pPr>
        <w:tabs>
          <w:tab w:val="left" w:pos="720"/>
        </w:tabs>
        <w:spacing w:after="100"/>
      </w:pPr>
      <w:r>
        <w:rPr>
          <w:rFonts w:ascii="Calibri" w:cs="Calibri" w:eastAsia="Calibri" w:hAnsi="Calibri"/>
          <w:b/>
          <w:bCs/>
          <w:color w:val="990011"/>
          <w:sz w:val="22"/>
          <w:szCs w:val="22"/>
        </w:rPr>
        <w:t xml:space="preserve">8.	</w:t>
      </w:r>
      <w:r>
        <w:rPr>
          <w:rFonts w:ascii="Calibri" w:cs="Calibri" w:eastAsia="Calibri" w:hAnsi="Calibri"/>
          <w:b/>
          <w:bCs/>
          <w:sz w:val="22"/>
          <w:szCs w:val="22"/>
        </w:rPr>
        <w:t xml:space="preserve">Supply Chain Rules</w:t>
      </w:r>
      <w:r>
        <w:rPr>
          <w:rFonts w:ascii="Calibri" w:cs="Calibri" w:eastAsia="Calibri" w:hAnsi="Calibri"/>
          <w:color w:val="6B6B6B"/>
          <w:sz w:val="20"/>
          <w:szCs w:val="20"/>
        </w:rPr>
        <w:t xml:space="preserve">  —  Approved suppliers, ordering, food safety.</w:t>
      </w:r>
    </w:p>
    <w:p>
      <w:pPr>
        <w:tabs>
          <w:tab w:val="left" w:pos="720"/>
        </w:tabs>
        <w:spacing w:after="100"/>
      </w:pPr>
      <w:r>
        <w:rPr>
          <w:rFonts w:ascii="Calibri" w:cs="Calibri" w:eastAsia="Calibri" w:hAnsi="Calibri"/>
          <w:b/>
          <w:bCs/>
          <w:color w:val="990011"/>
          <w:sz w:val="22"/>
          <w:szCs w:val="22"/>
        </w:rPr>
        <w:t xml:space="preserve">9.	</w:t>
      </w:r>
      <w:r>
        <w:rPr>
          <w:rFonts w:ascii="Calibri" w:cs="Calibri" w:eastAsia="Calibri" w:hAnsi="Calibri"/>
          <w:b/>
          <w:bCs/>
          <w:sz w:val="22"/>
          <w:szCs w:val="22"/>
        </w:rPr>
        <w:t xml:space="preserve">Technology Platform</w:t>
      </w:r>
      <w:r>
        <w:rPr>
          <w:rFonts w:ascii="Calibri" w:cs="Calibri" w:eastAsia="Calibri" w:hAnsi="Calibri"/>
          <w:color w:val="6B6B6B"/>
          <w:sz w:val="20"/>
          <w:szCs w:val="20"/>
        </w:rPr>
        <w:t xml:space="preserve">  —  ERP, POS, loyalty, ordering — required usage.</w:t>
      </w:r>
    </w:p>
    <w:p>
      <w:pPr>
        <w:tabs>
          <w:tab w:val="left" w:pos="720"/>
        </w:tabs>
        <w:spacing w:after="100"/>
      </w:pPr>
      <w:r>
        <w:rPr>
          <w:rFonts w:ascii="Calibri" w:cs="Calibri" w:eastAsia="Calibri" w:hAnsi="Calibri"/>
          <w:b/>
          <w:bCs/>
          <w:color w:val="990011"/>
          <w:sz w:val="22"/>
          <w:szCs w:val="22"/>
        </w:rPr>
        <w:t xml:space="preserve">10.	</w:t>
      </w:r>
      <w:r>
        <w:rPr>
          <w:rFonts w:ascii="Calibri" w:cs="Calibri" w:eastAsia="Calibri" w:hAnsi="Calibri"/>
          <w:b/>
          <w:bCs/>
          <w:sz w:val="22"/>
          <w:szCs w:val="22"/>
        </w:rPr>
        <w:t xml:space="preserve">Marketing &amp; Brand Compliance</w:t>
      </w:r>
      <w:r>
        <w:rPr>
          <w:rFonts w:ascii="Calibri" w:cs="Calibri" w:eastAsia="Calibri" w:hAnsi="Calibri"/>
          <w:color w:val="6B6B6B"/>
          <w:sz w:val="20"/>
          <w:szCs w:val="20"/>
        </w:rPr>
        <w:t xml:space="preserve">  —  What you can do locally; what you cannot.</w:t>
      </w:r>
    </w:p>
    <w:p>
      <w:pPr>
        <w:tabs>
          <w:tab w:val="left" w:pos="720"/>
        </w:tabs>
        <w:spacing w:after="100"/>
      </w:pPr>
      <w:r>
        <w:rPr>
          <w:rFonts w:ascii="Calibri" w:cs="Calibri" w:eastAsia="Calibri" w:hAnsi="Calibri"/>
          <w:b/>
          <w:bCs/>
          <w:color w:val="990011"/>
          <w:sz w:val="22"/>
          <w:szCs w:val="22"/>
        </w:rPr>
        <w:t xml:space="preserve">11.	</w:t>
      </w:r>
      <w:r>
        <w:rPr>
          <w:rFonts w:ascii="Calibri" w:cs="Calibri" w:eastAsia="Calibri" w:hAnsi="Calibri"/>
          <w:b/>
          <w:bCs/>
          <w:sz w:val="22"/>
          <w:szCs w:val="22"/>
        </w:rPr>
        <w:t xml:space="preserve">Financial Reporting &amp; Audit</w:t>
      </w:r>
      <w:r>
        <w:rPr>
          <w:rFonts w:ascii="Calibri" w:cs="Calibri" w:eastAsia="Calibri" w:hAnsi="Calibri"/>
          <w:color w:val="6B6B6B"/>
          <w:sz w:val="20"/>
          <w:szCs w:val="20"/>
        </w:rPr>
        <w:t xml:space="preserve">  —  Royalty, marketing fund, books, audit rights.</w:t>
      </w:r>
    </w:p>
    <w:p>
      <w:pPr>
        <w:tabs>
          <w:tab w:val="left" w:pos="720"/>
        </w:tabs>
        <w:spacing w:after="100"/>
      </w:pPr>
      <w:r>
        <w:rPr>
          <w:rFonts w:ascii="Calibri" w:cs="Calibri" w:eastAsia="Calibri" w:hAnsi="Calibri"/>
          <w:b/>
          <w:bCs/>
          <w:color w:val="990011"/>
          <w:sz w:val="22"/>
          <w:szCs w:val="22"/>
        </w:rPr>
        <w:t xml:space="preserve">12.	</w:t>
      </w:r>
      <w:r>
        <w:rPr>
          <w:rFonts w:ascii="Calibri" w:cs="Calibri" w:eastAsia="Calibri" w:hAnsi="Calibri"/>
          <w:b/>
          <w:bCs/>
          <w:sz w:val="22"/>
          <w:szCs w:val="22"/>
        </w:rPr>
        <w:t xml:space="preserve">Compliance &amp; Legal</w:t>
      </w:r>
      <w:r>
        <w:rPr>
          <w:rFonts w:ascii="Calibri" w:cs="Calibri" w:eastAsia="Calibri" w:hAnsi="Calibri"/>
          <w:color w:val="6B6B6B"/>
          <w:sz w:val="20"/>
          <w:szCs w:val="20"/>
        </w:rPr>
        <w:t xml:space="preserve">  —  KSA-specific compliance, food safety, employment.</w:t>
      </w:r>
    </w:p>
    <w:p>
      <w:pPr>
        <w:tabs>
          <w:tab w:val="left" w:pos="720"/>
        </w:tabs>
        <w:spacing w:after="100"/>
      </w:pPr>
      <w:r>
        <w:rPr>
          <w:rFonts w:ascii="Calibri" w:cs="Calibri" w:eastAsia="Calibri" w:hAnsi="Calibri"/>
          <w:b/>
          <w:bCs/>
          <w:color w:val="990011"/>
          <w:sz w:val="22"/>
          <w:szCs w:val="22"/>
        </w:rPr>
        <w:t xml:space="preserve">13.	</w:t>
      </w:r>
      <w:r>
        <w:rPr>
          <w:rFonts w:ascii="Calibri" w:cs="Calibri" w:eastAsia="Calibri" w:hAnsi="Calibri"/>
          <w:b/>
          <w:bCs/>
          <w:sz w:val="22"/>
          <w:szCs w:val="22"/>
        </w:rPr>
        <w:t xml:space="preserve">Breach &amp; Termination</w:t>
      </w:r>
      <w:r>
        <w:rPr>
          <w:rFonts w:ascii="Calibri" w:cs="Calibri" w:eastAsia="Calibri" w:hAnsi="Calibri"/>
          <w:color w:val="6B6B6B"/>
          <w:sz w:val="20"/>
          <w:szCs w:val="20"/>
        </w:rPr>
        <w:t xml:space="preserve">  —  What happens when standards aren't met.</w:t>
      </w:r>
    </w:p>
    <w:p>
      <w:pPr>
        <w:tabs>
          <w:tab w:val="left" w:pos="720"/>
        </w:tabs>
        <w:spacing w:after="100"/>
      </w:pPr>
      <w:r>
        <w:rPr>
          <w:rFonts w:ascii="Calibri" w:cs="Calibri" w:eastAsia="Calibri" w:hAnsi="Calibri"/>
          <w:b/>
          <w:bCs/>
          <w:color w:val="990011"/>
          <w:sz w:val="22"/>
          <w:szCs w:val="22"/>
        </w:rPr>
        <w:t xml:space="preserve">14.	</w:t>
      </w:r>
      <w:r>
        <w:rPr>
          <w:rFonts w:ascii="Calibri" w:cs="Calibri" w:eastAsia="Calibri" w:hAnsi="Calibri"/>
          <w:b/>
          <w:bCs/>
          <w:sz w:val="22"/>
          <w:szCs w:val="22"/>
        </w:rPr>
        <w:t xml:space="preserve">Appendices</w:t>
      </w:r>
      <w:r>
        <w:rPr>
          <w:rFonts w:ascii="Calibri" w:cs="Calibri" w:eastAsia="Calibri" w:hAnsi="Calibri"/>
          <w:color w:val="6B6B6B"/>
          <w:sz w:val="20"/>
          <w:szCs w:val="20"/>
        </w:rPr>
        <w:t xml:space="preserve">  —  Forms, checklists, contact directory.</w:t>
      </w:r>
    </w:p>
    <w:p>
      <w:r>
        <w:br w:type="page"/>
      </w:r>
    </w:p>
    <w:p>
      <w:pPr>
        <w:pStyle w:val="Heading1"/>
        <w:spacing w:after="240" w:before="480"/>
      </w:pPr>
      <w:r>
        <w:rPr>
          <w:rFonts w:ascii="Georgia" w:cs="Georgia" w:eastAsia="Georgia" w:hAnsi="Georgia"/>
          <w:b/>
          <w:bCs/>
          <w:color w:val="990011"/>
          <w:sz w:val="36"/>
          <w:szCs w:val="36"/>
        </w:rPr>
        <w:t xml:space="preserve">1. Brand Foundations</w:t>
      </w:r>
    </w:p>
    <w:p>
      <w:pPr>
        <w:spacing w:after="120" w:line="300"/>
      </w:pPr>
      <w:r>
        <w:rPr>
          <w:rFonts w:ascii="Calibri" w:cs="Calibri" w:eastAsia="Calibri" w:hAnsi="Calibri"/>
          <w:sz w:val="22"/>
          <w:szCs w:val="22"/>
        </w:rPr>
        <w:t xml:space="preserve">Every operational decision in this manual flows from one question: would Red Chili's founders be proud to put their name on what's happening in your unit right now? If the answer is yes, you are operating Red Chili. If not, you are operating something else.</w:t>
      </w:r>
    </w:p>
    <w:p>
      <w:pPr>
        <w:pStyle w:val="Heading2"/>
        <w:spacing w:after="180" w:before="360"/>
      </w:pPr>
      <w:r>
        <w:rPr>
          <w:rFonts w:ascii="Georgia" w:cs="Georgia" w:eastAsia="Georgia" w:hAnsi="Georgia"/>
          <w:b/>
          <w:bCs/>
          <w:color w:val="990011"/>
          <w:sz w:val="26"/>
          <w:szCs w:val="26"/>
        </w:rPr>
        <w:t xml:space="preserve">1.1  Brand purpose</w:t>
      </w:r>
    </w:p>
    <w:p>
      <w:pPr>
        <w:spacing w:after="120" w:line="300"/>
      </w:pPr>
      <w:r>
        <w:rPr>
          <w:rFonts w:ascii="Calibri" w:cs="Calibri" w:eastAsia="Calibri" w:hAnsi="Calibri"/>
          <w:sz w:val="22"/>
          <w:szCs w:val="22"/>
        </w:rPr>
        <w:t xml:space="preserve">Red Chili exists to make Indian food worthy of the families who built it — and to make it accessible without making it ordinary. That tension defines everything: a SAR 8 chai must be served with the same care as a SAR 380 platter.</w:t>
      </w:r>
    </w:p>
    <w:p>
      <w:pPr>
        <w:pStyle w:val="Heading2"/>
        <w:spacing w:after="180" w:before="360"/>
      </w:pPr>
      <w:r>
        <w:rPr>
          <w:rFonts w:ascii="Georgia" w:cs="Georgia" w:eastAsia="Georgia" w:hAnsi="Georgia"/>
          <w:b/>
          <w:bCs/>
          <w:color w:val="990011"/>
          <w:sz w:val="26"/>
          <w:szCs w:val="26"/>
        </w:rPr>
        <w:t xml:space="preserve">1.2  Brand pillars</w:t>
      </w:r>
    </w:p>
    <w:p>
      <w:pPr>
        <w:spacing w:after="80" w:before="180"/>
      </w:pPr>
      <w:r>
        <w:rPr>
          <w:rFonts w:ascii="Calibri" w:cs="Calibri" w:eastAsia="Calibri" w:hAnsi="Calibri"/>
          <w:b/>
          <w:bCs/>
          <w:color w:val="990011"/>
          <w:sz w:val="22"/>
          <w:szCs w:val="22"/>
        </w:rPr>
        <w:t xml:space="preserve">Authenticity without nostalgia.</w:t>
      </w:r>
    </w:p>
    <w:p>
      <w:pPr>
        <w:spacing w:after="120" w:line="300"/>
      </w:pPr>
      <w:r>
        <w:rPr>
          <w:rFonts w:ascii="Calibri" w:cs="Calibri" w:eastAsia="Calibri" w:hAnsi="Calibri"/>
          <w:sz w:val="22"/>
          <w:szCs w:val="22"/>
        </w:rPr>
        <w:t xml:space="preserve">Recipes are honoured. Presentation is contemporary. We don't pretend it's still 1985.</w:t>
      </w:r>
    </w:p>
    <w:p>
      <w:pPr>
        <w:spacing w:after="80" w:before="180"/>
      </w:pPr>
      <w:r>
        <w:rPr>
          <w:rFonts w:ascii="Calibri" w:cs="Calibri" w:eastAsia="Calibri" w:hAnsi="Calibri"/>
          <w:b/>
          <w:bCs/>
          <w:color w:val="990011"/>
          <w:sz w:val="22"/>
          <w:szCs w:val="22"/>
        </w:rPr>
        <w:t xml:space="preserve">Service above station.</w:t>
      </w:r>
    </w:p>
    <w:p>
      <w:pPr>
        <w:spacing w:after="120" w:line="300"/>
      </w:pPr>
      <w:r>
        <w:rPr>
          <w:rFonts w:ascii="Calibri" w:cs="Calibri" w:eastAsia="Calibri" w:hAnsi="Calibri"/>
          <w:sz w:val="22"/>
          <w:szCs w:val="22"/>
        </w:rPr>
        <w:t xml:space="preserve">Whether the customer is a princess or a delivery rider on his break, the service is the same.</w:t>
      </w:r>
    </w:p>
    <w:p>
      <w:pPr>
        <w:spacing w:after="80" w:before="180"/>
      </w:pPr>
      <w:r>
        <w:rPr>
          <w:rFonts w:ascii="Calibri" w:cs="Calibri" w:eastAsia="Calibri" w:hAnsi="Calibri"/>
          <w:b/>
          <w:bCs/>
          <w:color w:val="990011"/>
          <w:sz w:val="22"/>
          <w:szCs w:val="22"/>
        </w:rPr>
        <w:t xml:space="preserve">Cleanliness as a value, not a checklist.</w:t>
      </w:r>
    </w:p>
    <w:p>
      <w:pPr>
        <w:spacing w:after="120" w:line="300"/>
      </w:pPr>
      <w:r>
        <w:rPr>
          <w:rFonts w:ascii="Calibri" w:cs="Calibri" w:eastAsia="Calibri" w:hAnsi="Calibri"/>
          <w:sz w:val="22"/>
          <w:szCs w:val="22"/>
        </w:rPr>
        <w:t xml:space="preserve">Customer-visible AND back-of-house. If a guest can see the kitchen, the kitchen must be ready to be seen.</w:t>
      </w:r>
    </w:p>
    <w:p>
      <w:pPr>
        <w:spacing w:after="80" w:before="180"/>
      </w:pPr>
      <w:r>
        <w:rPr>
          <w:rFonts w:ascii="Calibri" w:cs="Calibri" w:eastAsia="Calibri" w:hAnsi="Calibri"/>
          <w:b/>
          <w:bCs/>
          <w:color w:val="990011"/>
          <w:sz w:val="22"/>
          <w:szCs w:val="22"/>
        </w:rPr>
        <w:t xml:space="preserve">Family at the table.</w:t>
      </w:r>
    </w:p>
    <w:p>
      <w:pPr>
        <w:spacing w:after="120" w:line="300"/>
      </w:pPr>
      <w:r>
        <w:rPr>
          <w:rFonts w:ascii="Calibri" w:cs="Calibri" w:eastAsia="Calibri" w:hAnsi="Calibri"/>
          <w:sz w:val="22"/>
          <w:szCs w:val="22"/>
        </w:rPr>
        <w:t xml:space="preserve">Every Red Chili — from Family flagship to Tea Stall — is built so a family can comfortably eat together. This is the ground rule for everything from menu design to seating layout.</w:t>
      </w:r>
    </w:p>
    <w:p>
      <w:pPr>
        <w:pStyle w:val="Heading2"/>
        <w:spacing w:after="180" w:before="360"/>
      </w:pPr>
      <w:r>
        <w:rPr>
          <w:rFonts w:ascii="Georgia" w:cs="Georgia" w:eastAsia="Georgia" w:hAnsi="Georgia"/>
          <w:b/>
          <w:bCs/>
          <w:color w:val="990011"/>
          <w:sz w:val="26"/>
          <w:szCs w:val="26"/>
        </w:rPr>
        <w:t xml:space="preserve">1.3  Brand voice</w:t>
      </w:r>
    </w:p>
    <w:p>
      <w:pPr>
        <w:spacing w:after="120" w:line="300"/>
      </w:pPr>
      <w:r>
        <w:rPr>
          <w:rFonts w:ascii="Calibri" w:cs="Calibri" w:eastAsia="Calibri" w:hAnsi="Calibri"/>
          <w:sz w:val="22"/>
          <w:szCs w:val="22"/>
        </w:rPr>
        <w:t xml:space="preserve">Red Chili speaks plainly. We don't oversell. We describe a dish the way a host would describe what they cooked you for dinner — with a little pride, but without trying to impress.</w:t>
      </w:r>
    </w:p>
    <w:p>
      <w:pPr>
        <w:spacing w:after="120" w:line="300"/>
      </w:pPr>
      <w:r>
        <w:rPr>
          <w:rFonts w:ascii="Calibri" w:cs="Calibri" w:eastAsia="Calibri" w:hAnsi="Calibri"/>
          <w:sz w:val="22"/>
          <w:szCs w:val="22"/>
        </w:rPr>
        <w:t xml:space="preserve">In writing: short sentences, no exclamation marks, never call ourselves 'world-class' or 'premium' (let the customer decide).</w:t>
      </w:r>
    </w:p>
    <w:p>
      <w:pPr>
        <w:spacing w:after="120" w:line="300"/>
      </w:pPr>
      <w:r>
        <w:rPr>
          <w:rFonts w:ascii="Calibri" w:cs="Calibri" w:eastAsia="Calibri" w:hAnsi="Calibri"/>
          <w:sz w:val="22"/>
          <w:szCs w:val="22"/>
        </w:rPr>
        <w:t xml:space="preserve">In service: 'Welcome' beats 'How can I help you today.' 'Thank you for waiting' beats 'I apologize for the delay.'</w:t>
      </w:r>
    </w:p>
    <w:p>
      <w:pPr>
        <w:pStyle w:val="Heading2"/>
        <w:spacing w:after="180" w:before="360"/>
      </w:pPr>
      <w:r>
        <w:rPr>
          <w:rFonts w:ascii="Georgia" w:cs="Georgia" w:eastAsia="Georgia" w:hAnsi="Georgia"/>
          <w:b/>
          <w:bCs/>
          <w:color w:val="990011"/>
          <w:sz w:val="26"/>
          <w:szCs w:val="26"/>
        </w:rPr>
        <w:t xml:space="preserve">1.4  What Red Chili is not</w:t>
      </w:r>
    </w:p>
    <w:p>
      <w:pPr>
        <w:pStyle w:val="ListParagraph"/>
        <w:numPr>
          <w:ilvl w:val="0"/>
          <w:numId w:val="2"/>
        </w:numPr>
        <w:spacing w:after="80" w:line="280"/>
      </w:pPr>
      <w:r>
        <w:rPr>
          <w:rFonts w:ascii="Calibri" w:cs="Calibri" w:eastAsia="Calibri" w:hAnsi="Calibri"/>
          <w:sz w:val="22"/>
          <w:szCs w:val="22"/>
        </w:rPr>
        <w:t xml:space="preserve">Not a fast-food chain. Even Tea Stall units serve, they don't dispense.</w:t>
      </w:r>
    </w:p>
    <w:p>
      <w:pPr>
        <w:pStyle w:val="ListParagraph"/>
        <w:numPr>
          <w:ilvl w:val="0"/>
          <w:numId w:val="2"/>
        </w:numPr>
        <w:spacing w:after="80" w:line="280"/>
      </w:pPr>
      <w:r>
        <w:rPr>
          <w:rFonts w:ascii="Calibri" w:cs="Calibri" w:eastAsia="Calibri" w:hAnsi="Calibri"/>
          <w:sz w:val="22"/>
          <w:szCs w:val="22"/>
        </w:rPr>
        <w:t xml:space="preserve">Not a fusion concept. We don't do 'Indian-Mexican.' We don't do 'modern Indian.' We do Indian, well.</w:t>
      </w:r>
    </w:p>
    <w:p>
      <w:pPr>
        <w:pStyle w:val="ListParagraph"/>
        <w:numPr>
          <w:ilvl w:val="0"/>
          <w:numId w:val="2"/>
        </w:numPr>
        <w:spacing w:after="80" w:line="280"/>
      </w:pPr>
      <w:r>
        <w:rPr>
          <w:rFonts w:ascii="Calibri" w:cs="Calibri" w:eastAsia="Calibri" w:hAnsi="Calibri"/>
          <w:sz w:val="22"/>
          <w:szCs w:val="22"/>
        </w:rPr>
        <w:t xml:space="preserve">Not a buffet. Buffet operations are not permitted in any Red Chili unit. Period.</w:t>
      </w:r>
    </w:p>
    <w:p>
      <w:pPr>
        <w:pStyle w:val="ListParagraph"/>
        <w:numPr>
          <w:ilvl w:val="0"/>
          <w:numId w:val="2"/>
        </w:numPr>
        <w:spacing w:after="80" w:line="280"/>
      </w:pPr>
      <w:r>
        <w:rPr>
          <w:rFonts w:ascii="Calibri" w:cs="Calibri" w:eastAsia="Calibri" w:hAnsi="Calibri"/>
          <w:sz w:val="22"/>
          <w:szCs w:val="22"/>
        </w:rPr>
        <w:t xml:space="preserve">Not a delivery-only ghost kitchen. Every unit must have a customer-facing presence.</w:t>
      </w:r>
    </w:p>
    <w:p>
      <w:r>
        <w:br w:type="page"/>
      </w:r>
    </w:p>
    <w:p>
      <w:pPr>
        <w:pStyle w:val="Heading1"/>
        <w:spacing w:after="240" w:before="480"/>
      </w:pPr>
      <w:r>
        <w:rPr>
          <w:rFonts w:ascii="Georgia" w:cs="Georgia" w:eastAsia="Georgia" w:hAnsi="Georgia"/>
          <w:b/>
          <w:bCs/>
          <w:color w:val="990011"/>
          <w:sz w:val="36"/>
          <w:szCs w:val="36"/>
        </w:rPr>
        <w:t xml:space="preserve">2. Sub-Brand Architecture</w:t>
      </w:r>
    </w:p>
    <w:p>
      <w:pPr>
        <w:spacing w:after="120" w:line="300"/>
      </w:pPr>
      <w:r>
        <w:rPr>
          <w:rFonts w:ascii="Calibri" w:cs="Calibri" w:eastAsia="Calibri" w:hAnsi="Calibri"/>
          <w:sz w:val="22"/>
          <w:szCs w:val="22"/>
        </w:rPr>
        <w:t xml:space="preserve">Red Chili operates four sub-brands. Each one has a clear price point, footprint, and customer occasion. You may operate one sub-brand per franchise agreement. Multi-brand area development is by separate agreement only.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900"/>
        <w:gridCol w:w="1500"/>
        <w:gridCol w:w="1700"/>
        <w:gridCol w:w="1860"/>
      </w:tblGrid>
      <w:tr>
        <w:tc>
          <w:tcPr>
            <w:tcW w:type="dxa" w:w="240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Sub-Brand</w:t>
            </w:r>
          </w:p>
        </w:tc>
        <w:tc>
          <w:tcPr>
            <w:tcW w:type="dxa" w:w="190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center"/>
            </w:pPr>
            <w:r>
              <w:rPr>
                <w:rFonts w:ascii="Calibri" w:cs="Calibri" w:eastAsia="Calibri" w:hAnsi="Calibri"/>
                <w:b/>
                <w:bCs/>
                <w:color w:val="FFFFFF"/>
                <w:sz w:val="20"/>
                <w:szCs w:val="20"/>
              </w:rPr>
              <w:t xml:space="preserve">Format</w:t>
            </w:r>
          </w:p>
        </w:tc>
        <w:tc>
          <w:tcPr>
            <w:tcW w:type="dxa" w:w="150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center"/>
            </w:pPr>
            <w:r>
              <w:rPr>
                <w:rFonts w:ascii="Calibri" w:cs="Calibri" w:eastAsia="Calibri" w:hAnsi="Calibri"/>
                <w:b/>
                <w:bCs/>
                <w:color w:val="FFFFFF"/>
                <w:sz w:val="20"/>
                <w:szCs w:val="20"/>
              </w:rPr>
              <w:t xml:space="preserve">Footprint</w:t>
            </w:r>
          </w:p>
        </w:tc>
        <w:tc>
          <w:tcPr>
            <w:tcW w:type="dxa" w:w="170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center"/>
            </w:pPr>
            <w:r>
              <w:rPr>
                <w:rFonts w:ascii="Calibri" w:cs="Calibri" w:eastAsia="Calibri" w:hAnsi="Calibri"/>
                <w:b/>
                <w:bCs/>
                <w:color w:val="FFFFFF"/>
                <w:sz w:val="20"/>
                <w:szCs w:val="20"/>
              </w:rPr>
              <w:t xml:space="preserve">Avg Ticket</w:t>
            </w:r>
          </w:p>
        </w:tc>
        <w:tc>
          <w:tcPr>
            <w:tcW w:type="dxa" w:w="186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center"/>
            </w:pPr>
            <w:r>
              <w:rPr>
                <w:rFonts w:ascii="Calibri" w:cs="Calibri" w:eastAsia="Calibri" w:hAnsi="Calibri"/>
                <w:b/>
                <w:bCs/>
                <w:color w:val="FFFFFF"/>
                <w:sz w:val="20"/>
                <w:szCs w:val="20"/>
              </w:rPr>
              <w:t xml:space="preserve">Initial Investment</w:t>
            </w:r>
          </w:p>
        </w:tc>
      </w:tr>
      <w:tr>
        <w:tc>
          <w:tcPr>
            <w:tcW w:type="dxa" w:w="24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left"/>
            </w:pPr>
            <w:r>
              <w:rPr>
                <w:rFonts w:ascii="Calibri" w:cs="Calibri" w:eastAsia="Calibri" w:hAnsi="Calibri"/>
                <w:b w:val="false"/>
                <w:bCs w:val="false"/>
                <w:color w:val="1A1A1A"/>
                <w:sz w:val="20"/>
                <w:szCs w:val="20"/>
              </w:rPr>
              <w:t xml:space="preserve">Red Chili Family</w:t>
            </w:r>
          </w:p>
        </w:tc>
        <w:tc>
          <w:tcPr>
            <w:tcW w:type="dxa" w:w="19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Flagship dining</w:t>
            </w:r>
          </w:p>
        </w:tc>
        <w:tc>
          <w:tcPr>
            <w:tcW w:type="dxa" w:w="15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200-400 sqm</w:t>
            </w:r>
          </w:p>
        </w:tc>
        <w:tc>
          <w:tcPr>
            <w:tcW w:type="dxa" w:w="17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120-180</w:t>
            </w:r>
          </w:p>
        </w:tc>
        <w:tc>
          <w:tcPr>
            <w:tcW w:type="dxa" w:w="186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1.5-3.0M</w:t>
            </w:r>
          </w:p>
        </w:tc>
      </w:tr>
      <w:tr>
        <w:tc>
          <w:tcPr>
            <w:tcW w:type="dxa" w:w="24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b w:val="false"/>
                <w:bCs w:val="false"/>
                <w:color w:val="1A1A1A"/>
                <w:sz w:val="20"/>
                <w:szCs w:val="20"/>
              </w:rPr>
              <w:t xml:space="preserve">Red Chili Express</w:t>
            </w:r>
          </w:p>
        </w:tc>
        <w:tc>
          <w:tcPr>
            <w:tcW w:type="dxa" w:w="19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QSR / fast-casual</w:t>
            </w:r>
          </w:p>
        </w:tc>
        <w:tc>
          <w:tcPr>
            <w:tcW w:type="dxa" w:w="15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60-120 sqm</w:t>
            </w:r>
          </w:p>
        </w:tc>
        <w:tc>
          <w:tcPr>
            <w:tcW w:type="dxa" w:w="17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35-55</w:t>
            </w:r>
          </w:p>
        </w:tc>
        <w:tc>
          <w:tcPr>
            <w:tcW w:type="dxa" w:w="186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350-600K</w:t>
            </w:r>
          </w:p>
        </w:tc>
      </w:tr>
      <w:tr>
        <w:tc>
          <w:tcPr>
            <w:tcW w:type="dxa" w:w="24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left"/>
            </w:pPr>
            <w:r>
              <w:rPr>
                <w:rFonts w:ascii="Calibri" w:cs="Calibri" w:eastAsia="Calibri" w:hAnsi="Calibri"/>
                <w:b w:val="false"/>
                <w:bCs w:val="false"/>
                <w:color w:val="1A1A1A"/>
                <w:sz w:val="20"/>
                <w:szCs w:val="20"/>
              </w:rPr>
              <w:t xml:space="preserve">Red Chili Snack Corner</w:t>
            </w:r>
          </w:p>
        </w:tc>
        <w:tc>
          <w:tcPr>
            <w:tcW w:type="dxa" w:w="19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Counter / kiosk</w:t>
            </w:r>
          </w:p>
        </w:tc>
        <w:tc>
          <w:tcPr>
            <w:tcW w:type="dxa" w:w="15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15-30 sqm</w:t>
            </w:r>
          </w:p>
        </w:tc>
        <w:tc>
          <w:tcPr>
            <w:tcW w:type="dxa" w:w="170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12-25</w:t>
            </w:r>
          </w:p>
        </w:tc>
        <w:tc>
          <w:tcPr>
            <w:tcW w:type="dxa" w:w="1860"/>
            <w:tcBorders>
              <w:top w:val="single" w:color="C4C4C4" w:sz="4"/>
              <w:left w:val="single" w:color="C4C4C4" w:sz="4"/>
              <w:bottom w:val="single" w:color="C4C4C4" w:sz="4"/>
              <w:right w:val="single" w:color="C4C4C4" w:sz="4"/>
            </w:tcBorders>
            <w:shd w:fill="FFFFFF"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120-250K</w:t>
            </w:r>
          </w:p>
        </w:tc>
      </w:tr>
      <w:tr>
        <w:tc>
          <w:tcPr>
            <w:tcW w:type="dxa" w:w="24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b w:val="false"/>
                <w:bCs w:val="false"/>
                <w:color w:val="1A1A1A"/>
                <w:sz w:val="20"/>
                <w:szCs w:val="20"/>
              </w:rPr>
              <w:t xml:space="preserve">Red Chili Tea Stall</w:t>
            </w:r>
          </w:p>
        </w:tc>
        <w:tc>
          <w:tcPr>
            <w:tcW w:type="dxa" w:w="19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Micro / standing</w:t>
            </w:r>
          </w:p>
        </w:tc>
        <w:tc>
          <w:tcPr>
            <w:tcW w:type="dxa" w:w="15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8-15 sqm</w:t>
            </w:r>
          </w:p>
        </w:tc>
        <w:tc>
          <w:tcPr>
            <w:tcW w:type="dxa" w:w="170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4-12</w:t>
            </w:r>
          </w:p>
        </w:tc>
        <w:tc>
          <w:tcPr>
            <w:tcW w:type="dxa" w:w="186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b w:val="false"/>
                <w:bCs w:val="false"/>
                <w:color w:val="1A1A1A"/>
                <w:sz w:val="20"/>
                <w:szCs w:val="20"/>
              </w:rPr>
              <w:t xml:space="preserve">SAR 60-120K</w:t>
            </w:r>
          </w:p>
        </w:tc>
      </w:tr>
    </w:tbl>
    <w:p>
      <w:pPr>
        <w:spacing w:after="240" w:before="240"/>
      </w:pPr>
      <w:r>
        <w:t xml:space="preserve"/>
      </w:r>
    </w:p>
    <w:p>
      <w:pPr>
        <w:pStyle w:val="Heading2"/>
        <w:spacing w:after="180" w:before="360"/>
      </w:pPr>
      <w:r>
        <w:rPr>
          <w:rFonts w:ascii="Georgia" w:cs="Georgia" w:eastAsia="Georgia" w:hAnsi="Georgia"/>
          <w:b/>
          <w:bCs/>
          <w:color w:val="990011"/>
          <w:sz w:val="26"/>
          <w:szCs w:val="26"/>
        </w:rPr>
        <w:t xml:space="preserve">2.1  Red Chili Family</w:t>
      </w:r>
    </w:p>
    <w:p>
      <w:pPr>
        <w:spacing w:after="120" w:line="300"/>
      </w:pPr>
      <w:r>
        <w:rPr>
          <w:rFonts w:ascii="Calibri" w:cs="Calibri" w:eastAsia="Calibri" w:hAnsi="Calibri"/>
          <w:sz w:val="22"/>
          <w:szCs w:val="22"/>
        </w:rPr>
        <w:t xml:space="preserve">The flagship. Sit-down dining, full table service, complete menu, alcohol-free with elaborate non-alcoholic pairings. Targets families and special occasions. Hours: lunch + dinner only (closed 4pm-6pm).</w:t>
      </w:r>
    </w:p>
    <w:p>
      <w:pPr>
        <w:pStyle w:val="Heading3"/>
        <w:spacing w:after="120" w:before="240"/>
      </w:pPr>
      <w:r>
        <w:rPr>
          <w:rFonts w:ascii="Georgia" w:cs="Georgia" w:eastAsia="Georgia" w:hAnsi="Georgia"/>
          <w:b/>
          <w:bCs/>
          <w:color w:val="1A1A1A"/>
          <w:sz w:val="22"/>
          <w:szCs w:val="22"/>
        </w:rPr>
        <w:t xml:space="preserve">Family unit non-negotiables:</w:t>
      </w:r>
    </w:p>
    <w:p>
      <w:pPr>
        <w:pStyle w:val="ListParagraph"/>
        <w:numPr>
          <w:ilvl w:val="0"/>
          <w:numId w:val="2"/>
        </w:numPr>
        <w:spacing w:after="80" w:line="280"/>
      </w:pPr>
      <w:r>
        <w:rPr>
          <w:rFonts w:ascii="Calibri" w:cs="Calibri" w:eastAsia="Calibri" w:hAnsi="Calibri"/>
          <w:sz w:val="22"/>
          <w:szCs w:val="22"/>
        </w:rPr>
        <w:t xml:space="preserve">Reservation system mandatory (no walk-only seating).</w:t>
      </w:r>
    </w:p>
    <w:p>
      <w:pPr>
        <w:pStyle w:val="ListParagraph"/>
        <w:numPr>
          <w:ilvl w:val="0"/>
          <w:numId w:val="2"/>
        </w:numPr>
        <w:spacing w:after="80" w:line="280"/>
      </w:pPr>
      <w:r>
        <w:rPr>
          <w:rFonts w:ascii="Calibri" w:cs="Calibri" w:eastAsia="Calibri" w:hAnsi="Calibri"/>
          <w:sz w:val="22"/>
          <w:szCs w:val="22"/>
        </w:rPr>
        <w:t xml:space="preserve">Minimum 8 dish categories: starters, soups, salads, mains (veg + non-veg), bread, rice, desserts, beverages.</w:t>
      </w:r>
    </w:p>
    <w:p>
      <w:pPr>
        <w:pStyle w:val="ListParagraph"/>
        <w:numPr>
          <w:ilvl w:val="0"/>
          <w:numId w:val="2"/>
        </w:numPr>
        <w:spacing w:after="80" w:line="280"/>
      </w:pPr>
      <w:r>
        <w:rPr>
          <w:rFonts w:ascii="Calibri" w:cs="Calibri" w:eastAsia="Calibri" w:hAnsi="Calibri"/>
          <w:sz w:val="22"/>
          <w:szCs w:val="22"/>
        </w:rPr>
        <w:t xml:space="preserve">Plated service only (no buffet, no family-style platters as default — only on request).</w:t>
      </w:r>
    </w:p>
    <w:p>
      <w:pPr>
        <w:pStyle w:val="ListParagraph"/>
        <w:numPr>
          <w:ilvl w:val="0"/>
          <w:numId w:val="2"/>
        </w:numPr>
        <w:spacing w:after="80" w:line="280"/>
      </w:pPr>
      <w:r>
        <w:rPr>
          <w:rFonts w:ascii="Calibri" w:cs="Calibri" w:eastAsia="Calibri" w:hAnsi="Calibri"/>
          <w:sz w:val="22"/>
          <w:szCs w:val="22"/>
        </w:rPr>
        <w:t xml:space="preserve">Live music or recorded ambient music (curated playlist provided by Red Chili Group).</w:t>
      </w:r>
    </w:p>
    <w:p>
      <w:pPr>
        <w:pStyle w:val="ListParagraph"/>
        <w:numPr>
          <w:ilvl w:val="0"/>
          <w:numId w:val="2"/>
        </w:numPr>
        <w:spacing w:after="80" w:line="280"/>
      </w:pPr>
      <w:r>
        <w:rPr>
          <w:rFonts w:ascii="Calibri" w:cs="Calibri" w:eastAsia="Calibri" w:hAnsi="Calibri"/>
          <w:sz w:val="22"/>
          <w:szCs w:val="22"/>
        </w:rPr>
        <w:t xml:space="preserve">Family-room option for private gatherings (minimum 1 private room or alcove).</w:t>
      </w:r>
    </w:p>
    <w:p>
      <w:pPr>
        <w:pStyle w:val="Heading2"/>
        <w:spacing w:after="180" w:before="360"/>
      </w:pPr>
      <w:r>
        <w:rPr>
          <w:rFonts w:ascii="Georgia" w:cs="Georgia" w:eastAsia="Georgia" w:hAnsi="Georgia"/>
          <w:b/>
          <w:bCs/>
          <w:color w:val="990011"/>
          <w:sz w:val="26"/>
          <w:szCs w:val="26"/>
        </w:rPr>
        <w:t xml:space="preserve">2.2  Red Chili Express</w:t>
      </w:r>
    </w:p>
    <w:p>
      <w:pPr>
        <w:spacing w:after="120" w:line="300"/>
      </w:pPr>
      <w:r>
        <w:rPr>
          <w:rFonts w:ascii="Calibri" w:cs="Calibri" w:eastAsia="Calibri" w:hAnsi="Calibri"/>
          <w:sz w:val="22"/>
          <w:szCs w:val="22"/>
        </w:rPr>
        <w:t xml:space="preserve">Fast-casual. Order at counter, food brought to table. Targets office lunches, mall visits, family dinners on weekdays. Hours: 11am-11pm continuous.</w:t>
      </w:r>
    </w:p>
    <w:p>
      <w:pPr>
        <w:pStyle w:val="Heading3"/>
        <w:spacing w:after="120" w:before="240"/>
      </w:pPr>
      <w:r>
        <w:rPr>
          <w:rFonts w:ascii="Georgia" w:cs="Georgia" w:eastAsia="Georgia" w:hAnsi="Georgia"/>
          <w:b/>
          <w:bCs/>
          <w:color w:val="1A1A1A"/>
          <w:sz w:val="22"/>
          <w:szCs w:val="22"/>
        </w:rPr>
        <w:t xml:space="preserve">Express unit non-negotiables:</w:t>
      </w:r>
    </w:p>
    <w:p>
      <w:pPr>
        <w:pStyle w:val="ListParagraph"/>
        <w:numPr>
          <w:ilvl w:val="0"/>
          <w:numId w:val="2"/>
        </w:numPr>
        <w:spacing w:after="80" w:line="280"/>
      </w:pPr>
      <w:r>
        <w:rPr>
          <w:rFonts w:ascii="Calibri" w:cs="Calibri" w:eastAsia="Calibri" w:hAnsi="Calibri"/>
          <w:sz w:val="22"/>
          <w:szCs w:val="22"/>
        </w:rPr>
        <w:t xml:space="preserve">Standardized menu of 12-16 items (no custom additions).</w:t>
      </w:r>
    </w:p>
    <w:p>
      <w:pPr>
        <w:pStyle w:val="ListParagraph"/>
        <w:numPr>
          <w:ilvl w:val="0"/>
          <w:numId w:val="2"/>
        </w:numPr>
        <w:spacing w:after="80" w:line="280"/>
      </w:pPr>
      <w:r>
        <w:rPr>
          <w:rFonts w:ascii="Calibri" w:cs="Calibri" w:eastAsia="Calibri" w:hAnsi="Calibri"/>
          <w:sz w:val="22"/>
          <w:szCs w:val="22"/>
        </w:rPr>
        <w:t xml:space="preserve">Maximum order-to-table time: 8 minutes.</w:t>
      </w:r>
    </w:p>
    <w:p>
      <w:pPr>
        <w:pStyle w:val="ListParagraph"/>
        <w:numPr>
          <w:ilvl w:val="0"/>
          <w:numId w:val="2"/>
        </w:numPr>
        <w:spacing w:after="80" w:line="280"/>
      </w:pPr>
      <w:r>
        <w:rPr>
          <w:rFonts w:ascii="Calibri" w:cs="Calibri" w:eastAsia="Calibri" w:hAnsi="Calibri"/>
          <w:sz w:val="22"/>
          <w:szCs w:val="22"/>
        </w:rPr>
        <w:t xml:space="preserve">Self-serve drinks station permitted; food is always served.</w:t>
      </w:r>
    </w:p>
    <w:p>
      <w:pPr>
        <w:pStyle w:val="ListParagraph"/>
        <w:numPr>
          <w:ilvl w:val="0"/>
          <w:numId w:val="2"/>
        </w:numPr>
        <w:spacing w:after="80" w:line="280"/>
      </w:pPr>
      <w:r>
        <w:rPr>
          <w:rFonts w:ascii="Calibri" w:cs="Calibri" w:eastAsia="Calibri" w:hAnsi="Calibri"/>
          <w:sz w:val="22"/>
          <w:szCs w:val="22"/>
        </w:rPr>
        <w:t xml:space="preserve">No alcohol; no shisha; no live music.</w:t>
      </w:r>
    </w:p>
    <w:p>
      <w:pPr>
        <w:pStyle w:val="Heading2"/>
        <w:spacing w:after="180" w:before="360"/>
      </w:pPr>
      <w:r>
        <w:rPr>
          <w:rFonts w:ascii="Georgia" w:cs="Georgia" w:eastAsia="Georgia" w:hAnsi="Georgia"/>
          <w:b/>
          <w:bCs/>
          <w:color w:val="990011"/>
          <w:sz w:val="26"/>
          <w:szCs w:val="26"/>
        </w:rPr>
        <w:t xml:space="preserve">2.3  Red Chili Snack Corner</w:t>
      </w:r>
    </w:p>
    <w:p>
      <w:pPr>
        <w:spacing w:after="120" w:line="300"/>
      </w:pPr>
      <w:r>
        <w:rPr>
          <w:rFonts w:ascii="Calibri" w:cs="Calibri" w:eastAsia="Calibri" w:hAnsi="Calibri"/>
          <w:sz w:val="22"/>
          <w:szCs w:val="22"/>
        </w:rPr>
        <w:t xml:space="preserve">Kiosk format. Counter-only service. Pre-prepared and made-to-order items: kebab rolls, samosas, masala chai, small plates. Targets transit hubs, malls, petrol stations, corporate parks.</w:t>
      </w:r>
    </w:p>
    <w:p>
      <w:pPr>
        <w:pStyle w:val="ListParagraph"/>
        <w:numPr>
          <w:ilvl w:val="0"/>
          <w:numId w:val="2"/>
        </w:numPr>
        <w:spacing w:after="80" w:line="280"/>
      </w:pPr>
      <w:r>
        <w:rPr>
          <w:rFonts w:ascii="Calibri" w:cs="Calibri" w:eastAsia="Calibri" w:hAnsi="Calibri"/>
          <w:sz w:val="22"/>
          <w:szCs w:val="22"/>
        </w:rPr>
        <w:t xml:space="preserve">Maximum 10 menu items at any time.</w:t>
      </w:r>
    </w:p>
    <w:p>
      <w:pPr>
        <w:pStyle w:val="ListParagraph"/>
        <w:numPr>
          <w:ilvl w:val="0"/>
          <w:numId w:val="2"/>
        </w:numPr>
        <w:spacing w:after="80" w:line="280"/>
      </w:pPr>
      <w:r>
        <w:rPr>
          <w:rFonts w:ascii="Calibri" w:cs="Calibri" w:eastAsia="Calibri" w:hAnsi="Calibri"/>
          <w:sz w:val="22"/>
          <w:szCs w:val="22"/>
        </w:rPr>
        <w:t xml:space="preserve">Order-to-hand time: under 4 minutes.</w:t>
      </w:r>
    </w:p>
    <w:p>
      <w:pPr>
        <w:pStyle w:val="ListParagraph"/>
        <w:numPr>
          <w:ilvl w:val="0"/>
          <w:numId w:val="2"/>
        </w:numPr>
        <w:spacing w:after="80" w:line="280"/>
      </w:pPr>
      <w:r>
        <w:rPr>
          <w:rFonts w:ascii="Calibri" w:cs="Calibri" w:eastAsia="Calibri" w:hAnsi="Calibri"/>
          <w:sz w:val="22"/>
          <w:szCs w:val="22"/>
        </w:rPr>
        <w:t xml:space="preserve">Limited seating (under 12 covers).</w:t>
      </w:r>
    </w:p>
    <w:p>
      <w:pPr>
        <w:pStyle w:val="Heading2"/>
        <w:spacing w:after="180" w:before="360"/>
      </w:pPr>
      <w:r>
        <w:rPr>
          <w:rFonts w:ascii="Georgia" w:cs="Georgia" w:eastAsia="Georgia" w:hAnsi="Georgia"/>
          <w:b/>
          <w:bCs/>
          <w:color w:val="990011"/>
          <w:sz w:val="26"/>
          <w:szCs w:val="26"/>
        </w:rPr>
        <w:t xml:space="preserve">2.4  Red Chili Tea Stall</w:t>
      </w:r>
    </w:p>
    <w:p>
      <w:pPr>
        <w:spacing w:after="120" w:line="300"/>
      </w:pPr>
      <w:r>
        <w:rPr>
          <w:rFonts w:ascii="Calibri" w:cs="Calibri" w:eastAsia="Calibri" w:hAnsi="Calibri"/>
          <w:sz w:val="22"/>
          <w:szCs w:val="22"/>
        </w:rPr>
        <w:t xml:space="preserve">Smallest unit. Tea, coffee, Indian sweets, single signature snack. Designed for high-frequency, low-ticket repeat business in dense urban locations.</w:t>
      </w:r>
    </w:p>
    <w:p>
      <w:pPr>
        <w:pStyle w:val="ListParagraph"/>
        <w:numPr>
          <w:ilvl w:val="0"/>
          <w:numId w:val="2"/>
        </w:numPr>
        <w:spacing w:after="80" w:line="280"/>
      </w:pPr>
      <w:r>
        <w:rPr>
          <w:rFonts w:ascii="Calibri" w:cs="Calibri" w:eastAsia="Calibri" w:hAnsi="Calibri"/>
          <w:sz w:val="22"/>
          <w:szCs w:val="22"/>
        </w:rPr>
        <w:t xml:space="preserve">Maximum 6 menu items.</w:t>
      </w:r>
    </w:p>
    <w:p>
      <w:pPr>
        <w:pStyle w:val="ListParagraph"/>
        <w:numPr>
          <w:ilvl w:val="0"/>
          <w:numId w:val="2"/>
        </w:numPr>
        <w:spacing w:after="80" w:line="280"/>
      </w:pPr>
      <w:r>
        <w:rPr>
          <w:rFonts w:ascii="Calibri" w:cs="Calibri" w:eastAsia="Calibri" w:hAnsi="Calibri"/>
          <w:sz w:val="22"/>
          <w:szCs w:val="22"/>
        </w:rPr>
        <w:t xml:space="preserve">Standing service only (or stools, no tables).</w:t>
      </w:r>
    </w:p>
    <w:p>
      <w:pPr>
        <w:pStyle w:val="ListParagraph"/>
        <w:numPr>
          <w:ilvl w:val="0"/>
          <w:numId w:val="2"/>
        </w:numPr>
        <w:spacing w:after="80" w:line="280"/>
      </w:pPr>
      <w:r>
        <w:rPr>
          <w:rFonts w:ascii="Calibri" w:cs="Calibri" w:eastAsia="Calibri" w:hAnsi="Calibri"/>
          <w:sz w:val="22"/>
          <w:szCs w:val="22"/>
        </w:rPr>
        <w:t xml:space="preserve">Volume play — minimum 250 transactions per day required for unit viability.</w:t>
      </w:r>
    </w:p>
    <w:p>
      <w:r>
        <w:br w:type="page"/>
      </w:r>
    </w:p>
    <w:p>
      <w:pPr>
        <w:pStyle w:val="Heading1"/>
        <w:spacing w:after="240" w:before="480"/>
      </w:pPr>
      <w:r>
        <w:rPr>
          <w:rFonts w:ascii="Georgia" w:cs="Georgia" w:eastAsia="Georgia" w:hAnsi="Georgia"/>
          <w:b/>
          <w:bCs/>
          <w:color w:val="990011"/>
          <w:sz w:val="36"/>
          <w:szCs w:val="36"/>
        </w:rPr>
        <w:t xml:space="preserve">3. Site Selection &amp; Approval</w:t>
      </w:r>
    </w:p>
    <w:p>
      <w:pPr>
        <w:spacing w:after="120" w:line="300"/>
      </w:pPr>
      <w:r>
        <w:rPr>
          <w:rFonts w:ascii="Calibri" w:cs="Calibri" w:eastAsia="Calibri" w:hAnsi="Calibri"/>
          <w:sz w:val="22"/>
          <w:szCs w:val="22"/>
        </w:rPr>
        <w:t xml:space="preserve">No franchise unit may open without written site approval from Red Chili Group's Franchise Development Office. Sites are evaluated against criteria specific to each sub-brand. Approval is in writing only — no verbal approvals, no implied consent.</w:t>
      </w:r>
    </w:p>
    <w:p>
      <w:pPr>
        <w:pStyle w:val="Heading2"/>
        <w:spacing w:after="180" w:before="360"/>
      </w:pPr>
      <w:r>
        <w:rPr>
          <w:rFonts w:ascii="Georgia" w:cs="Georgia" w:eastAsia="Georgia" w:hAnsi="Georgia"/>
          <w:b/>
          <w:bCs/>
          <w:color w:val="990011"/>
          <w:sz w:val="26"/>
          <w:szCs w:val="26"/>
        </w:rPr>
        <w:t xml:space="preserve">3.1  Site approval process</w:t>
      </w:r>
    </w:p>
    <w:p>
      <w:pPr>
        <w:pStyle w:val="ListParagraph"/>
        <w:numPr>
          <w:ilvl w:val="0"/>
          <w:numId w:val="3"/>
        </w:numPr>
        <w:spacing w:after="80" w:line="280"/>
      </w:pPr>
      <w:r>
        <w:rPr>
          <w:rFonts w:ascii="Calibri" w:cs="Calibri" w:eastAsia="Calibri" w:hAnsi="Calibri"/>
          <w:sz w:val="22"/>
          <w:szCs w:val="22"/>
        </w:rPr>
        <w:t xml:space="preserve">Franchisee submits Site Submission Form (Appendix A) with photos, floor plan, lease draft, and traffic study.</w:t>
      </w:r>
    </w:p>
    <w:p>
      <w:pPr>
        <w:pStyle w:val="ListParagraph"/>
        <w:numPr>
          <w:ilvl w:val="0"/>
          <w:numId w:val="3"/>
        </w:numPr>
        <w:spacing w:after="80" w:line="280"/>
      </w:pPr>
      <w:r>
        <w:rPr>
          <w:rFonts w:ascii="Calibri" w:cs="Calibri" w:eastAsia="Calibri" w:hAnsi="Calibri"/>
          <w:sz w:val="22"/>
          <w:szCs w:val="22"/>
        </w:rPr>
        <w:t xml:space="preserve">Franchise Development Office reviews within 14 working days.</w:t>
      </w:r>
    </w:p>
    <w:p>
      <w:pPr>
        <w:pStyle w:val="ListParagraph"/>
        <w:numPr>
          <w:ilvl w:val="0"/>
          <w:numId w:val="3"/>
        </w:numPr>
        <w:spacing w:after="80" w:line="280"/>
      </w:pPr>
      <w:r>
        <w:rPr>
          <w:rFonts w:ascii="Calibri" w:cs="Calibri" w:eastAsia="Calibri" w:hAnsi="Calibri"/>
          <w:sz w:val="22"/>
          <w:szCs w:val="22"/>
        </w:rPr>
        <w:t xml:space="preserve">If conditional approval, franchisee receives required modifications. If rejected, franchisee may resubmit alternative sites at no extra fee within 90 days.</w:t>
      </w:r>
    </w:p>
    <w:p>
      <w:pPr>
        <w:pStyle w:val="ListParagraph"/>
        <w:numPr>
          <w:ilvl w:val="0"/>
          <w:numId w:val="3"/>
        </w:numPr>
        <w:spacing w:after="80" w:line="280"/>
      </w:pPr>
      <w:r>
        <w:rPr>
          <w:rFonts w:ascii="Calibri" w:cs="Calibri" w:eastAsia="Calibri" w:hAnsi="Calibri"/>
          <w:sz w:val="22"/>
          <w:szCs w:val="22"/>
        </w:rPr>
        <w:t xml:space="preserve">Final approval is issued only after lease terms are reviewed by Red Chili Group's legal team for any clauses that conflict with brand standards.</w:t>
      </w:r>
    </w:p>
    <w:p>
      <w:pPr>
        <w:pStyle w:val="ListParagraph"/>
        <w:numPr>
          <w:ilvl w:val="0"/>
          <w:numId w:val="3"/>
        </w:numPr>
        <w:spacing w:after="80" w:line="280"/>
      </w:pPr>
      <w:r>
        <w:rPr>
          <w:rFonts w:ascii="Calibri" w:cs="Calibri" w:eastAsia="Calibri" w:hAnsi="Calibri"/>
          <w:sz w:val="22"/>
          <w:szCs w:val="22"/>
        </w:rPr>
        <w:t xml:space="preserve">Franchisee may sign lease only after written final approval.</w:t>
      </w:r>
    </w:p>
    <w:p>
      <w:pPr>
        <w:pStyle w:val="Heading2"/>
        <w:spacing w:after="180" w:before="360"/>
      </w:pPr>
      <w:r>
        <w:rPr>
          <w:rFonts w:ascii="Georgia" w:cs="Georgia" w:eastAsia="Georgia" w:hAnsi="Georgia"/>
          <w:b/>
          <w:bCs/>
          <w:color w:val="990011"/>
          <w:sz w:val="26"/>
          <w:szCs w:val="26"/>
        </w:rPr>
        <w:t xml:space="preserve">3.2  Site evaluation criteria — Family</w:t>
      </w:r>
    </w:p>
    <w:p>
      <w:pPr>
        <w:pStyle w:val="ListParagraph"/>
        <w:numPr>
          <w:ilvl w:val="0"/>
          <w:numId w:val="2"/>
        </w:numPr>
        <w:spacing w:after="80" w:line="280"/>
      </w:pPr>
      <w:r>
        <w:rPr>
          <w:rFonts w:ascii="Calibri" w:cs="Calibri" w:eastAsia="Calibri" w:hAnsi="Calibri"/>
          <w:sz w:val="22"/>
          <w:szCs w:val="22"/>
        </w:rPr>
        <w:t xml:space="preserve">Catchment: minimum 25,000 households within 5km drive.</w:t>
      </w:r>
    </w:p>
    <w:p>
      <w:pPr>
        <w:pStyle w:val="ListParagraph"/>
        <w:numPr>
          <w:ilvl w:val="0"/>
          <w:numId w:val="2"/>
        </w:numPr>
        <w:spacing w:after="80" w:line="280"/>
      </w:pPr>
      <w:r>
        <w:rPr>
          <w:rFonts w:ascii="Calibri" w:cs="Calibri" w:eastAsia="Calibri" w:hAnsi="Calibri"/>
          <w:sz w:val="22"/>
          <w:szCs w:val="22"/>
        </w:rPr>
        <w:t xml:space="preserve">Average household income (catchment): SAR 18,000+/month.</w:t>
      </w:r>
    </w:p>
    <w:p>
      <w:pPr>
        <w:pStyle w:val="ListParagraph"/>
        <w:numPr>
          <w:ilvl w:val="0"/>
          <w:numId w:val="2"/>
        </w:numPr>
        <w:spacing w:after="80" w:line="280"/>
      </w:pPr>
      <w:r>
        <w:rPr>
          <w:rFonts w:ascii="Calibri" w:cs="Calibri" w:eastAsia="Calibri" w:hAnsi="Calibri"/>
          <w:sz w:val="22"/>
          <w:szCs w:val="22"/>
        </w:rPr>
        <w:t xml:space="preserve">Visibility: ground floor strongly preferred; first floor only with elevator + signage rights.</w:t>
      </w:r>
    </w:p>
    <w:p>
      <w:pPr>
        <w:pStyle w:val="ListParagraph"/>
        <w:numPr>
          <w:ilvl w:val="0"/>
          <w:numId w:val="2"/>
        </w:numPr>
        <w:spacing w:after="80" w:line="280"/>
      </w:pPr>
      <w:r>
        <w:rPr>
          <w:rFonts w:ascii="Calibri" w:cs="Calibri" w:eastAsia="Calibri" w:hAnsi="Calibri"/>
          <w:sz w:val="22"/>
          <w:szCs w:val="22"/>
        </w:rPr>
        <w:t xml:space="preserve">Parking: minimum 25 dedicated spaces or valet arrangement.</w:t>
      </w:r>
    </w:p>
    <w:p>
      <w:pPr>
        <w:pStyle w:val="ListParagraph"/>
        <w:numPr>
          <w:ilvl w:val="0"/>
          <w:numId w:val="2"/>
        </w:numPr>
        <w:spacing w:after="80" w:line="280"/>
      </w:pPr>
      <w:r>
        <w:rPr>
          <w:rFonts w:ascii="Calibri" w:cs="Calibri" w:eastAsia="Calibri" w:hAnsi="Calibri"/>
          <w:sz w:val="22"/>
          <w:szCs w:val="22"/>
        </w:rPr>
        <w:t xml:space="preserve">Adjacency: not within 200m of competing premium Indian restaurants.</w:t>
      </w:r>
    </w:p>
    <w:p>
      <w:pPr>
        <w:pStyle w:val="ListParagraph"/>
        <w:numPr>
          <w:ilvl w:val="0"/>
          <w:numId w:val="2"/>
        </w:numPr>
        <w:spacing w:after="80" w:line="280"/>
      </w:pPr>
      <w:r>
        <w:rPr>
          <w:rFonts w:ascii="Calibri" w:cs="Calibri" w:eastAsia="Calibri" w:hAnsi="Calibri"/>
          <w:sz w:val="22"/>
          <w:szCs w:val="22"/>
        </w:rPr>
        <w:t xml:space="preserve">Lease term: minimum 7 years with option to renew.</w:t>
      </w:r>
    </w:p>
    <w:p>
      <w:pPr>
        <w:pStyle w:val="Heading2"/>
        <w:spacing w:after="180" w:before="360"/>
      </w:pPr>
      <w:r>
        <w:rPr>
          <w:rFonts w:ascii="Georgia" w:cs="Georgia" w:eastAsia="Georgia" w:hAnsi="Georgia"/>
          <w:b/>
          <w:bCs/>
          <w:color w:val="990011"/>
          <w:sz w:val="26"/>
          <w:szCs w:val="26"/>
        </w:rPr>
        <w:t xml:space="preserve">3.3  Site evaluation criteria — Express</w:t>
      </w:r>
    </w:p>
    <w:p>
      <w:pPr>
        <w:pStyle w:val="ListParagraph"/>
        <w:numPr>
          <w:ilvl w:val="0"/>
          <w:numId w:val="2"/>
        </w:numPr>
        <w:spacing w:after="80" w:line="280"/>
      </w:pPr>
      <w:r>
        <w:rPr>
          <w:rFonts w:ascii="Calibri" w:cs="Calibri" w:eastAsia="Calibri" w:hAnsi="Calibri"/>
          <w:sz w:val="22"/>
          <w:szCs w:val="22"/>
        </w:rPr>
        <w:t xml:space="preserve">Foot traffic: minimum 8,000 daily passers-by within 100m radius.</w:t>
      </w:r>
    </w:p>
    <w:p>
      <w:pPr>
        <w:pStyle w:val="ListParagraph"/>
        <w:numPr>
          <w:ilvl w:val="0"/>
          <w:numId w:val="2"/>
        </w:numPr>
        <w:spacing w:after="80" w:line="280"/>
      </w:pPr>
      <w:r>
        <w:rPr>
          <w:rFonts w:ascii="Calibri" w:cs="Calibri" w:eastAsia="Calibri" w:hAnsi="Calibri"/>
          <w:sz w:val="22"/>
          <w:szCs w:val="22"/>
        </w:rPr>
        <w:t xml:space="preserve">Mall, food court, transit hub, corporate cluster, university adjacency preferred.</w:t>
      </w:r>
    </w:p>
    <w:p>
      <w:pPr>
        <w:pStyle w:val="ListParagraph"/>
        <w:numPr>
          <w:ilvl w:val="0"/>
          <w:numId w:val="2"/>
        </w:numPr>
        <w:spacing w:after="80" w:line="280"/>
      </w:pPr>
      <w:r>
        <w:rPr>
          <w:rFonts w:ascii="Calibri" w:cs="Calibri" w:eastAsia="Calibri" w:hAnsi="Calibri"/>
          <w:sz w:val="22"/>
          <w:szCs w:val="22"/>
        </w:rPr>
        <w:t xml:space="preserve">Frontage: minimum 4m of customer-facing storefront.</w:t>
      </w:r>
    </w:p>
    <w:p>
      <w:pPr>
        <w:pStyle w:val="ListParagraph"/>
        <w:numPr>
          <w:ilvl w:val="0"/>
          <w:numId w:val="2"/>
        </w:numPr>
        <w:spacing w:after="80" w:line="280"/>
      </w:pPr>
      <w:r>
        <w:rPr>
          <w:rFonts w:ascii="Calibri" w:cs="Calibri" w:eastAsia="Calibri" w:hAnsi="Calibri"/>
          <w:sz w:val="22"/>
          <w:szCs w:val="22"/>
        </w:rPr>
        <w:t xml:space="preserve">Lease term: minimum 5 years.</w:t>
      </w:r>
    </w:p>
    <w:p>
      <w:pPr>
        <w:pStyle w:val="Heading2"/>
        <w:spacing w:after="180" w:before="360"/>
      </w:pPr>
      <w:r>
        <w:rPr>
          <w:rFonts w:ascii="Georgia" w:cs="Georgia" w:eastAsia="Georgia" w:hAnsi="Georgia"/>
          <w:b/>
          <w:bCs/>
          <w:color w:val="990011"/>
          <w:sz w:val="26"/>
          <w:szCs w:val="26"/>
        </w:rPr>
        <w:t xml:space="preserve">3.4  Site evaluation criteria — Snack Corner &amp; Tea Stall</w:t>
      </w:r>
    </w:p>
    <w:p>
      <w:pPr>
        <w:pStyle w:val="ListParagraph"/>
        <w:numPr>
          <w:ilvl w:val="0"/>
          <w:numId w:val="2"/>
        </w:numPr>
        <w:spacing w:after="80" w:line="280"/>
      </w:pPr>
      <w:r>
        <w:rPr>
          <w:rFonts w:ascii="Calibri" w:cs="Calibri" w:eastAsia="Calibri" w:hAnsi="Calibri"/>
          <w:sz w:val="22"/>
          <w:szCs w:val="22"/>
        </w:rPr>
        <w:t xml:space="preserve">Foot traffic: minimum 15,000 daily passers-by within 50m radius.</w:t>
      </w:r>
    </w:p>
    <w:p>
      <w:pPr>
        <w:pStyle w:val="ListParagraph"/>
        <w:numPr>
          <w:ilvl w:val="0"/>
          <w:numId w:val="2"/>
        </w:numPr>
        <w:spacing w:after="80" w:line="280"/>
      </w:pPr>
      <w:r>
        <w:rPr>
          <w:rFonts w:ascii="Calibri" w:cs="Calibri" w:eastAsia="Calibri" w:hAnsi="Calibri"/>
          <w:sz w:val="22"/>
          <w:szCs w:val="22"/>
        </w:rPr>
        <w:t xml:space="preserve">Operating hours alignment with host location (e.g., petrol station 24/7).</w:t>
      </w:r>
    </w:p>
    <w:p>
      <w:pPr>
        <w:pStyle w:val="ListParagraph"/>
        <w:numPr>
          <w:ilvl w:val="0"/>
          <w:numId w:val="2"/>
        </w:numPr>
        <w:spacing w:after="80" w:line="280"/>
      </w:pPr>
      <w:r>
        <w:rPr>
          <w:rFonts w:ascii="Calibri" w:cs="Calibri" w:eastAsia="Calibri" w:hAnsi="Calibri"/>
          <w:sz w:val="22"/>
          <w:szCs w:val="22"/>
        </w:rPr>
        <w:t xml:space="preserve">Power and water supply confirmation (no temporary connections).</w:t>
      </w:r>
    </w:p>
    <w:p>
      <w:pPr>
        <w:pStyle w:val="ListParagraph"/>
        <w:numPr>
          <w:ilvl w:val="0"/>
          <w:numId w:val="2"/>
        </w:numPr>
        <w:spacing w:after="80" w:line="280"/>
      </w:pPr>
      <w:r>
        <w:rPr>
          <w:rFonts w:ascii="Calibri" w:cs="Calibri" w:eastAsia="Calibri" w:hAnsi="Calibri"/>
          <w:sz w:val="22"/>
          <w:szCs w:val="22"/>
        </w:rPr>
        <w:t xml:space="preserve">Lease term: minimum 3 years for Tea Stall, 5 years for Snack Corner.</w:t>
      </w:r>
    </w:p>
    <w:p>
      <w:pPr>
        <w:pStyle w:val="Heading2"/>
        <w:spacing w:after="180" w:before="360"/>
      </w:pPr>
      <w:r>
        <w:rPr>
          <w:rFonts w:ascii="Georgia" w:cs="Georgia" w:eastAsia="Georgia" w:hAnsi="Georgia"/>
          <w:b/>
          <w:bCs/>
          <w:color w:val="990011"/>
          <w:sz w:val="26"/>
          <w:szCs w:val="26"/>
        </w:rPr>
        <w:t xml:space="preserve">3.5  Sites that will not be approved</w:t>
      </w:r>
    </w:p>
    <w:p>
      <w:pPr>
        <w:pStyle w:val="ListParagraph"/>
        <w:numPr>
          <w:ilvl w:val="0"/>
          <w:numId w:val="2"/>
        </w:numPr>
        <w:spacing w:after="80" w:line="280"/>
      </w:pPr>
      <w:r>
        <w:rPr>
          <w:rFonts w:ascii="Calibri" w:cs="Calibri" w:eastAsia="Calibri" w:hAnsi="Calibri"/>
          <w:sz w:val="22"/>
          <w:szCs w:val="22"/>
        </w:rPr>
        <w:t xml:space="preserve">Inside or adjacent to alcohol-serving establishments.</w:t>
      </w:r>
    </w:p>
    <w:p>
      <w:pPr>
        <w:pStyle w:val="ListParagraph"/>
        <w:numPr>
          <w:ilvl w:val="0"/>
          <w:numId w:val="2"/>
        </w:numPr>
        <w:spacing w:after="80" w:line="280"/>
      </w:pPr>
      <w:r>
        <w:rPr>
          <w:rFonts w:ascii="Calibri" w:cs="Calibri" w:eastAsia="Calibri" w:hAnsi="Calibri"/>
          <w:sz w:val="22"/>
          <w:szCs w:val="22"/>
        </w:rPr>
        <w:t xml:space="preserve">Inside or directly adjacent to non-halal food vendors (Snack Corner &amp; Tea Stall in shared food courts must have at least one neutral vendor between).</w:t>
      </w:r>
    </w:p>
    <w:p>
      <w:pPr>
        <w:pStyle w:val="ListParagraph"/>
        <w:numPr>
          <w:ilvl w:val="0"/>
          <w:numId w:val="2"/>
        </w:numPr>
        <w:spacing w:after="80" w:line="280"/>
      </w:pPr>
      <w:r>
        <w:rPr>
          <w:rFonts w:ascii="Calibri" w:cs="Calibri" w:eastAsia="Calibri" w:hAnsi="Calibri"/>
          <w:sz w:val="22"/>
          <w:szCs w:val="22"/>
        </w:rPr>
        <w:t xml:space="preserve">Below-ground locations without natural light.</w:t>
      </w:r>
    </w:p>
    <w:p>
      <w:pPr>
        <w:pStyle w:val="ListParagraph"/>
        <w:numPr>
          <w:ilvl w:val="0"/>
          <w:numId w:val="2"/>
        </w:numPr>
        <w:spacing w:after="80" w:line="280"/>
      </w:pPr>
      <w:r>
        <w:rPr>
          <w:rFonts w:ascii="Calibri" w:cs="Calibri" w:eastAsia="Calibri" w:hAnsi="Calibri"/>
          <w:sz w:val="22"/>
          <w:szCs w:val="22"/>
        </w:rPr>
        <w:t xml:space="preserve">Mixed-use residential ground floors with active resident complaints on file.</w:t>
      </w:r>
    </w:p>
    <w:p>
      <w:pPr>
        <w:pStyle w:val="ListParagraph"/>
        <w:numPr>
          <w:ilvl w:val="0"/>
          <w:numId w:val="2"/>
        </w:numPr>
        <w:spacing w:after="80" w:line="280"/>
      </w:pPr>
      <w:r>
        <w:rPr>
          <w:rFonts w:ascii="Calibri" w:cs="Calibri" w:eastAsia="Calibri" w:hAnsi="Calibri"/>
          <w:sz w:val="22"/>
          <w:szCs w:val="22"/>
        </w:rPr>
        <w:t xml:space="preserve">Sites where signage rights are restricted in a way that obscures the Red Chili name.</w:t>
      </w:r>
    </w:p>
    <w:p>
      <w:r>
        <w:br w:type="page"/>
      </w:r>
    </w:p>
    <w:p>
      <w:pPr>
        <w:pStyle w:val="Heading1"/>
        <w:spacing w:after="240" w:before="480"/>
      </w:pPr>
      <w:r>
        <w:rPr>
          <w:rFonts w:ascii="Georgia" w:cs="Georgia" w:eastAsia="Georgia" w:hAnsi="Georgia"/>
          <w:b/>
          <w:bCs/>
          <w:color w:val="990011"/>
          <w:sz w:val="36"/>
          <w:szCs w:val="36"/>
        </w:rPr>
        <w:t xml:space="preserve">4. Fit-Out Standards</w:t>
      </w:r>
    </w:p>
    <w:p>
      <w:pPr>
        <w:spacing w:after="120" w:line="300"/>
      </w:pPr>
      <w:r>
        <w:rPr>
          <w:rFonts w:ascii="Calibri" w:cs="Calibri" w:eastAsia="Calibri" w:hAnsi="Calibri"/>
          <w:sz w:val="22"/>
          <w:szCs w:val="22"/>
        </w:rPr>
        <w:t xml:space="preserve">Brand consistency across units is non-negotiable. The look, feel, materials, and signage of every Red Chili unit must align with the design specification document for the relevant sub-brand. Fit-out designs are reviewed and approved by Red Chili Group before construction begins.</w:t>
      </w:r>
    </w:p>
    <w:p>
      <w:pPr>
        <w:pStyle w:val="Heading2"/>
        <w:spacing w:after="180" w:before="360"/>
      </w:pPr>
      <w:r>
        <w:rPr>
          <w:rFonts w:ascii="Georgia" w:cs="Georgia" w:eastAsia="Georgia" w:hAnsi="Georgia"/>
          <w:b/>
          <w:bCs/>
          <w:color w:val="990011"/>
          <w:sz w:val="26"/>
          <w:szCs w:val="26"/>
        </w:rPr>
        <w:t xml:space="preserve">4.1  Approved design firms</w:t>
      </w:r>
    </w:p>
    <w:p>
      <w:pPr>
        <w:spacing w:after="120" w:line="300"/>
      </w:pPr>
      <w:r>
        <w:rPr>
          <w:rFonts w:ascii="Calibri" w:cs="Calibri" w:eastAsia="Calibri" w:hAnsi="Calibri"/>
          <w:sz w:val="22"/>
          <w:szCs w:val="22"/>
        </w:rPr>
        <w:t xml:space="preserve">Franchisees must engage one of Red Chili's approved interior design firms for all fit-out work, OR submit their own proposed designer for approval. The list of approved firms is maintained in the Franchise ERP and updated quarterly.</w:t>
      </w:r>
    </w:p>
    <w:p>
      <w:pPr>
        <w:pStyle w:val="Heading2"/>
        <w:spacing w:after="180" w:before="360"/>
      </w:pPr>
      <w:r>
        <w:rPr>
          <w:rFonts w:ascii="Georgia" w:cs="Georgia" w:eastAsia="Georgia" w:hAnsi="Georgia"/>
          <w:b/>
          <w:bCs/>
          <w:color w:val="990011"/>
          <w:sz w:val="26"/>
          <w:szCs w:val="26"/>
        </w:rPr>
        <w:t xml:space="preserve">4.2  Brand colour palette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Colour</w:t>
            </w:r>
          </w:p>
        </w:tc>
        <w:tc>
          <w:tcPr>
            <w:tcW w:type="dxa" w:w="234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Hex / Pantone</w:t>
            </w:r>
          </w:p>
        </w:tc>
        <w:tc>
          <w:tcPr>
            <w:tcW w:type="dxa" w:w="234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Use</w:t>
            </w:r>
          </w:p>
        </w:tc>
        <w:tc>
          <w:tcPr>
            <w:tcW w:type="dxa" w:w="234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Forbidden Use</w:t>
            </w:r>
          </w:p>
        </w:tc>
      </w:tr>
      <w:tr>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Cherry Red</w:t>
            </w:r>
          </w:p>
        </w:tc>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#990011 / PMS 1955</w:t>
            </w:r>
          </w:p>
        </w:tc>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Logo, signage, accents</w:t>
            </w:r>
          </w:p>
        </w:tc>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Wall paint &gt; 30% surface</w:t>
            </w:r>
          </w:p>
        </w:tc>
      </w:tr>
      <w:tr>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Cream</w:t>
            </w:r>
          </w:p>
        </w:tc>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#FCF6F5 / PMS 9201</w:t>
            </w:r>
          </w:p>
        </w:tc>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Walls, table linens, menus</w:t>
            </w:r>
          </w:p>
        </w:tc>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Logo backgrounds</w:t>
            </w:r>
          </w:p>
        </w:tc>
      </w:tr>
      <w:tr>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Charcoal</w:t>
            </w:r>
          </w:p>
        </w:tc>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#1A1A1A</w:t>
            </w:r>
          </w:p>
        </w:tc>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Floors, frames, text</w:t>
            </w:r>
          </w:p>
        </w:tc>
        <w:tc>
          <w:tcPr>
            <w:tcW w:type="dxa" w:w="234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Customer-facing furniture</w:t>
            </w:r>
          </w:p>
        </w:tc>
      </w:tr>
      <w:tr>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Gold</w:t>
            </w:r>
          </w:p>
        </w:tc>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#C9A961 / PMS 871</w:t>
            </w:r>
          </w:p>
        </w:tc>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Trim, fixtures, Family flagship only</w:t>
            </w:r>
          </w:p>
        </w:tc>
        <w:tc>
          <w:tcPr>
            <w:tcW w:type="dxa" w:w="234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Express / Snack / Tea units</w:t>
            </w:r>
          </w:p>
        </w:tc>
      </w:tr>
    </w:tbl>
    <w:p>
      <w:pPr>
        <w:pStyle w:val="Heading2"/>
        <w:spacing w:after="180" w:before="360"/>
      </w:pPr>
      <w:r>
        <w:rPr>
          <w:rFonts w:ascii="Georgia" w:cs="Georgia" w:eastAsia="Georgia" w:hAnsi="Georgia"/>
          <w:b/>
          <w:bCs/>
          <w:color w:val="990011"/>
          <w:sz w:val="26"/>
          <w:szCs w:val="26"/>
        </w:rPr>
        <w:t xml:space="preserve">4.3  Materials specification</w:t>
      </w:r>
    </w:p>
    <w:p>
      <w:pPr>
        <w:pStyle w:val="ListParagraph"/>
        <w:numPr>
          <w:ilvl w:val="0"/>
          <w:numId w:val="2"/>
        </w:numPr>
        <w:spacing w:after="80" w:line="280"/>
      </w:pPr>
      <w:r>
        <w:rPr>
          <w:rFonts w:ascii="Calibri" w:cs="Calibri" w:eastAsia="Calibri" w:hAnsi="Calibri"/>
          <w:sz w:val="22"/>
          <w:szCs w:val="22"/>
        </w:rPr>
        <w:t xml:space="preserve">Floors: natural stone or polished concrete (Family); ceramic tile (Express, Snack); rubber mat (Tea Stall).</w:t>
      </w:r>
    </w:p>
    <w:p>
      <w:pPr>
        <w:pStyle w:val="ListParagraph"/>
        <w:numPr>
          <w:ilvl w:val="0"/>
          <w:numId w:val="2"/>
        </w:numPr>
        <w:spacing w:after="80" w:line="280"/>
      </w:pPr>
      <w:r>
        <w:rPr>
          <w:rFonts w:ascii="Calibri" w:cs="Calibri" w:eastAsia="Calibri" w:hAnsi="Calibri"/>
          <w:sz w:val="22"/>
          <w:szCs w:val="22"/>
        </w:rPr>
        <w:t xml:space="preserve">Walls: cream paint or natural plaster. No wallpaper. No exposed brick (this is a deliberate departure from generic 'industrial-restaurant' aesthetics).</w:t>
      </w:r>
    </w:p>
    <w:p>
      <w:pPr>
        <w:pStyle w:val="ListParagraph"/>
        <w:numPr>
          <w:ilvl w:val="0"/>
          <w:numId w:val="2"/>
        </w:numPr>
        <w:spacing w:after="80" w:line="280"/>
      </w:pPr>
      <w:r>
        <w:rPr>
          <w:rFonts w:ascii="Calibri" w:cs="Calibri" w:eastAsia="Calibri" w:hAnsi="Calibri"/>
          <w:sz w:val="22"/>
          <w:szCs w:val="22"/>
        </w:rPr>
        <w:t xml:space="preserve">Tables: solid wood (oak, walnut, or mango). No glass tops. No plastic. No melamine in Family or Express.</w:t>
      </w:r>
    </w:p>
    <w:p>
      <w:pPr>
        <w:pStyle w:val="ListParagraph"/>
        <w:numPr>
          <w:ilvl w:val="0"/>
          <w:numId w:val="2"/>
        </w:numPr>
        <w:spacing w:after="80" w:line="280"/>
      </w:pPr>
      <w:r>
        <w:rPr>
          <w:rFonts w:ascii="Calibri" w:cs="Calibri" w:eastAsia="Calibri" w:hAnsi="Calibri"/>
          <w:sz w:val="22"/>
          <w:szCs w:val="22"/>
        </w:rPr>
        <w:t xml:space="preserve">Chairs: upholstered (Family) or solid wood (Express). No moulded plastic chairs in any unit.</w:t>
      </w:r>
    </w:p>
    <w:p>
      <w:pPr>
        <w:pStyle w:val="ListParagraph"/>
        <w:numPr>
          <w:ilvl w:val="0"/>
          <w:numId w:val="2"/>
        </w:numPr>
        <w:spacing w:after="80" w:line="280"/>
      </w:pPr>
      <w:r>
        <w:rPr>
          <w:rFonts w:ascii="Calibri" w:cs="Calibri" w:eastAsia="Calibri" w:hAnsi="Calibri"/>
          <w:sz w:val="22"/>
          <w:szCs w:val="22"/>
        </w:rPr>
        <w:t xml:space="preserve">Lighting: warm white only (2700-3000K). No cool white. No coloured LEDs in customer-facing areas.</w:t>
      </w:r>
    </w:p>
    <w:p>
      <w:pPr>
        <w:pStyle w:val="Heading2"/>
        <w:spacing w:after="180" w:before="360"/>
      </w:pPr>
      <w:r>
        <w:rPr>
          <w:rFonts w:ascii="Georgia" w:cs="Georgia" w:eastAsia="Georgia" w:hAnsi="Georgia"/>
          <w:b/>
          <w:bCs/>
          <w:color w:val="990011"/>
          <w:sz w:val="26"/>
          <w:szCs w:val="26"/>
        </w:rPr>
        <w:t xml:space="preserve">4.4  Signage</w:t>
      </w:r>
    </w:p>
    <w:p>
      <w:pPr>
        <w:spacing w:after="120" w:line="300"/>
      </w:pPr>
      <w:r>
        <w:rPr>
          <w:rFonts w:ascii="Calibri" w:cs="Calibri" w:eastAsia="Calibri" w:hAnsi="Calibri"/>
          <w:sz w:val="22"/>
          <w:szCs w:val="22"/>
        </w:rPr>
        <w:t xml:space="preserve">All signage must be supplied by Red Chili Group's approved signage vendors. Franchisees pay direct cost; no margin is added by Red Chili Group. Custom local signage (e.g., Arabic transliteration in specific calligraphy) is approved per market.</w:t>
      </w:r>
    </w:p>
    <w:p>
      <w:pPr>
        <w:spacing w:after="120" w:line="300"/>
      </w:pPr>
      <w:r>
        <w:rPr>
          <w:rFonts w:ascii="Calibri" w:cs="Calibri" w:eastAsia="Calibri" w:hAnsi="Calibri"/>
          <w:sz w:val="22"/>
          <w:szCs w:val="22"/>
        </w:rPr>
        <w:t xml:space="preserve">Signage must include: full Red Chili logo, sub-brand designation (Family / Express / Snack / Tea), and the unit number assigned by the Franchise ERP.</w:t>
      </w:r>
    </w:p>
    <w:p>
      <w:pPr>
        <w:pStyle w:val="Heading2"/>
        <w:spacing w:after="180" w:before="360"/>
      </w:pPr>
      <w:r>
        <w:rPr>
          <w:rFonts w:ascii="Georgia" w:cs="Georgia" w:eastAsia="Georgia" w:hAnsi="Georgia"/>
          <w:b/>
          <w:bCs/>
          <w:color w:val="990011"/>
          <w:sz w:val="26"/>
          <w:szCs w:val="26"/>
        </w:rPr>
        <w:t xml:space="preserve">4.5  Kitchen specification</w:t>
      </w:r>
    </w:p>
    <w:p>
      <w:pPr>
        <w:spacing w:after="120" w:line="300"/>
      </w:pPr>
      <w:r>
        <w:rPr>
          <w:rFonts w:ascii="Calibri" w:cs="Calibri" w:eastAsia="Calibri" w:hAnsi="Calibri"/>
          <w:sz w:val="22"/>
          <w:szCs w:val="22"/>
        </w:rPr>
        <w:t xml:space="preserve">All kitchens must be designed to comply with Saudi Food and Drug Authority (SFDA) regulations and any applicable local equivalents in international markets. Kitchen design must be reviewed by Red Chili's kitchen consultants before equipment is ordered.</w:t>
      </w:r>
    </w:p>
    <w:p>
      <w:pPr>
        <w:spacing w:after="120" w:line="300"/>
      </w:pPr>
      <w:r>
        <w:rPr>
          <w:rFonts w:ascii="Calibri" w:cs="Calibri" w:eastAsia="Calibri" w:hAnsi="Calibri"/>
          <w:sz w:val="22"/>
          <w:szCs w:val="22"/>
        </w:rPr>
        <w:t xml:space="preserve">Approved kitchen equipment list is in Appendix B. Substitutions require written approval and may void warranty support from Red Chili Group's central support.</w:t>
      </w:r>
    </w:p>
    <w:p>
      <w:r>
        <w:br w:type="page"/>
      </w:r>
    </w:p>
    <w:p>
      <w:pPr>
        <w:pStyle w:val="Heading1"/>
        <w:spacing w:after="240" w:before="480"/>
      </w:pPr>
      <w:r>
        <w:rPr>
          <w:rFonts w:ascii="Georgia" w:cs="Georgia" w:eastAsia="Georgia" w:hAnsi="Georgia"/>
          <w:b/>
          <w:bCs/>
          <w:color w:val="990011"/>
          <w:sz w:val="36"/>
          <w:szCs w:val="36"/>
        </w:rPr>
        <w:t xml:space="preserve">5. Menu &amp; Recipe Standards</w:t>
      </w:r>
    </w:p>
    <w:p>
      <w:pPr>
        <w:spacing w:after="120" w:line="300"/>
      </w:pPr>
      <w:r>
        <w:rPr>
          <w:rFonts w:ascii="Calibri" w:cs="Calibri" w:eastAsia="Calibri" w:hAnsi="Calibri"/>
          <w:sz w:val="22"/>
          <w:szCs w:val="22"/>
        </w:rPr>
        <w:t xml:space="preserve">The recipes are the brand. Inconsistent food across units destroys the entire franchise system. This section is the most strictly enforced part of this manual.</w:t>
      </w:r>
    </w:p>
    <w:p>
      <w:pPr>
        <w:pStyle w:val="Heading2"/>
        <w:spacing w:after="180" w:before="360"/>
      </w:pPr>
      <w:r>
        <w:rPr>
          <w:rFonts w:ascii="Georgia" w:cs="Georgia" w:eastAsia="Georgia" w:hAnsi="Georgia"/>
          <w:b/>
          <w:bCs/>
          <w:color w:val="990011"/>
          <w:sz w:val="26"/>
          <w:szCs w:val="26"/>
        </w:rPr>
        <w:t xml:space="preserve">5.1  The Master Menu</w:t>
      </w:r>
    </w:p>
    <w:p>
      <w:pPr>
        <w:spacing w:after="120" w:line="300"/>
      </w:pPr>
      <w:r>
        <w:rPr>
          <w:rFonts w:ascii="Calibri" w:cs="Calibri" w:eastAsia="Calibri" w:hAnsi="Calibri"/>
          <w:sz w:val="22"/>
          <w:szCs w:val="22"/>
        </w:rPr>
        <w:t xml:space="preserve">Each sub-brand has a Master Menu, maintained in the Franchise ERP. Items are categorized as:</w:t>
      </w:r>
    </w:p>
    <w:p>
      <w:pPr>
        <w:pStyle w:val="ListParagraph"/>
        <w:numPr>
          <w:ilvl w:val="0"/>
          <w:numId w:val="2"/>
        </w:numPr>
        <w:spacing w:after="80" w:line="280"/>
      </w:pPr>
      <w:r>
        <w:rPr>
          <w:rFonts w:ascii="Calibri" w:cs="Calibri" w:eastAsia="Calibri" w:hAnsi="Calibri"/>
          <w:sz w:val="22"/>
          <w:szCs w:val="22"/>
        </w:rPr>
        <w:t xml:space="preserve">CORE — must be on the menu at all times. Removal results in immediate breach notice.</w:t>
      </w:r>
    </w:p>
    <w:p>
      <w:pPr>
        <w:pStyle w:val="ListParagraph"/>
        <w:numPr>
          <w:ilvl w:val="0"/>
          <w:numId w:val="2"/>
        </w:numPr>
        <w:spacing w:after="80" w:line="280"/>
      </w:pPr>
      <w:r>
        <w:rPr>
          <w:rFonts w:ascii="Calibri" w:cs="Calibri" w:eastAsia="Calibri" w:hAnsi="Calibri"/>
          <w:sz w:val="22"/>
          <w:szCs w:val="22"/>
        </w:rPr>
        <w:t xml:space="preserve">STANDARD — should be on the menu unless the franchisee has documented evidence of zero local demand for at least 90 days.</w:t>
      </w:r>
    </w:p>
    <w:p>
      <w:pPr>
        <w:pStyle w:val="ListParagraph"/>
        <w:numPr>
          <w:ilvl w:val="0"/>
          <w:numId w:val="2"/>
        </w:numPr>
        <w:spacing w:after="80" w:line="280"/>
      </w:pPr>
      <w:r>
        <w:rPr>
          <w:rFonts w:ascii="Calibri" w:cs="Calibri" w:eastAsia="Calibri" w:hAnsi="Calibri"/>
          <w:sz w:val="22"/>
          <w:szCs w:val="22"/>
        </w:rPr>
        <w:t xml:space="preserve">SEASONAL — rotated by Red Chili Group quarterly. All units must run the seasonal item during its window.</w:t>
      </w:r>
    </w:p>
    <w:p>
      <w:pPr>
        <w:pStyle w:val="ListParagraph"/>
        <w:numPr>
          <w:ilvl w:val="0"/>
          <w:numId w:val="2"/>
        </w:numPr>
        <w:spacing w:after="80" w:line="280"/>
      </w:pPr>
      <w:r>
        <w:rPr>
          <w:rFonts w:ascii="Calibri" w:cs="Calibri" w:eastAsia="Calibri" w:hAnsi="Calibri"/>
          <w:sz w:val="22"/>
          <w:szCs w:val="22"/>
        </w:rPr>
        <w:t xml:space="preserve">LOCAL APPROVED — items approved for specific markets (e.g., Pakistani-style biryani for Karachi unit; not allowed in Riyadh units).</w:t>
      </w:r>
    </w:p>
    <w:p>
      <w:pPr>
        <w:pStyle w:val="Heading2"/>
        <w:spacing w:after="180" w:before="360"/>
      </w:pPr>
      <w:r>
        <w:rPr>
          <w:rFonts w:ascii="Georgia" w:cs="Georgia" w:eastAsia="Georgia" w:hAnsi="Georgia"/>
          <w:b/>
          <w:bCs/>
          <w:color w:val="990011"/>
          <w:sz w:val="26"/>
          <w:szCs w:val="26"/>
        </w:rPr>
        <w:t xml:space="preserve">5.2  Recipe compliance</w:t>
      </w:r>
    </w:p>
    <w:p>
      <w:pPr>
        <w:spacing w:after="120" w:line="300"/>
      </w:pPr>
      <w:r>
        <w:rPr>
          <w:rFonts w:ascii="Calibri" w:cs="Calibri" w:eastAsia="Calibri" w:hAnsi="Calibri"/>
          <w:sz w:val="22"/>
          <w:szCs w:val="22"/>
        </w:rPr>
        <w:t xml:space="preserve">Recipes are issued via the Franchise ERP as detailed specifications including ingredient brand, weight, cooking time, temperature, and plating photo. Recipes are version-controlled. Updates are pushed to all units simultaneously with a 14-day implementation window.</w:t>
      </w:r>
    </w:p>
    <w:p>
      <w:pPr>
        <w:spacing w:after="120" w:line="300"/>
      </w:pPr>
      <w:r>
        <w:rPr>
          <w:rFonts w:ascii="Calibri" w:cs="Calibri" w:eastAsia="Calibri" w:hAnsi="Calibri"/>
          <w:sz w:val="22"/>
          <w:szCs w:val="22"/>
        </w:rPr>
        <w:t xml:space="preserve">Recipe modifications by the franchisee are not permitted, with one exception: spice level adjustment to local market preference within a defined range (mild / medium / hot is acceptable; 'no chili' or 'extra-mild for kids' is acceptable; substituting ingredients is not).</w:t>
      </w:r>
    </w:p>
    <w:p>
      <w:pPr>
        <w:pStyle w:val="Heading2"/>
        <w:spacing w:after="180" w:before="360"/>
      </w:pPr>
      <w:r>
        <w:rPr>
          <w:rFonts w:ascii="Georgia" w:cs="Georgia" w:eastAsia="Georgia" w:hAnsi="Georgia"/>
          <w:b/>
          <w:bCs/>
          <w:color w:val="990011"/>
          <w:sz w:val="26"/>
          <w:szCs w:val="26"/>
        </w:rPr>
        <w:t xml:space="preserve">5.3  Quality testing</w:t>
      </w:r>
    </w:p>
    <w:p>
      <w:pPr>
        <w:spacing w:after="120" w:line="300"/>
      </w:pPr>
      <w:r>
        <w:rPr>
          <w:rFonts w:ascii="Calibri" w:cs="Calibri" w:eastAsia="Calibri" w:hAnsi="Calibri"/>
          <w:sz w:val="22"/>
          <w:szCs w:val="22"/>
        </w:rPr>
        <w:t xml:space="preserve">Red Chili Group operates a mystery-shopper programme and a quarterly food audit. Mystery shoppers visit each unit at least 4 times per year. Audit failures are categorized:</w:t>
      </w:r>
    </w:p>
    <w:p>
      <w:pPr>
        <w:pStyle w:val="ListParagraph"/>
        <w:numPr>
          <w:ilvl w:val="0"/>
          <w:numId w:val="2"/>
        </w:numPr>
        <w:spacing w:after="80" w:line="280"/>
      </w:pPr>
      <w:r>
        <w:rPr>
          <w:rFonts w:ascii="Calibri" w:cs="Calibri" w:eastAsia="Calibri" w:hAnsi="Calibri"/>
          <w:sz w:val="22"/>
          <w:szCs w:val="22"/>
        </w:rPr>
        <w:t xml:space="preserve">MINOR (e.g., temperature variance, plating inconsistency): Written notice, 30 days to correct.</w:t>
      </w:r>
    </w:p>
    <w:p>
      <w:pPr>
        <w:pStyle w:val="ListParagraph"/>
        <w:numPr>
          <w:ilvl w:val="0"/>
          <w:numId w:val="2"/>
        </w:numPr>
        <w:spacing w:after="80" w:line="280"/>
      </w:pPr>
      <w:r>
        <w:rPr>
          <w:rFonts w:ascii="Calibri" w:cs="Calibri" w:eastAsia="Calibri" w:hAnsi="Calibri"/>
          <w:sz w:val="22"/>
          <w:szCs w:val="22"/>
        </w:rPr>
        <w:t xml:space="preserve">MAJOR (e.g., recipe substitution, ingredient tampering): Written notice, 14 days to correct, repeat = breach.</w:t>
      </w:r>
    </w:p>
    <w:p>
      <w:pPr>
        <w:pStyle w:val="ListParagraph"/>
        <w:numPr>
          <w:ilvl w:val="0"/>
          <w:numId w:val="2"/>
        </w:numPr>
        <w:spacing w:after="80" w:line="280"/>
      </w:pPr>
      <w:r>
        <w:rPr>
          <w:rFonts w:ascii="Calibri" w:cs="Calibri" w:eastAsia="Calibri" w:hAnsi="Calibri"/>
          <w:sz w:val="22"/>
          <w:szCs w:val="22"/>
        </w:rPr>
        <w:t xml:space="preserve">CRITICAL (e.g., food safety failure, non-halal ingredient detected): Immediate suspension of operations until resolved.</w:t>
      </w:r>
    </w:p>
    <w:p>
      <w:pPr>
        <w:pStyle w:val="Heading2"/>
        <w:spacing w:after="180" w:before="360"/>
      </w:pPr>
      <w:r>
        <w:rPr>
          <w:rFonts w:ascii="Georgia" w:cs="Georgia" w:eastAsia="Georgia" w:hAnsi="Georgia"/>
          <w:b/>
          <w:bCs/>
          <w:color w:val="990011"/>
          <w:sz w:val="26"/>
          <w:szCs w:val="26"/>
        </w:rPr>
        <w:t xml:space="preserve">5.4  Pricing autonomy</w:t>
      </w:r>
    </w:p>
    <w:p>
      <w:pPr>
        <w:spacing w:after="120" w:line="300"/>
      </w:pPr>
      <w:r>
        <w:rPr>
          <w:rFonts w:ascii="Calibri" w:cs="Calibri" w:eastAsia="Calibri" w:hAnsi="Calibri"/>
          <w:sz w:val="22"/>
          <w:szCs w:val="22"/>
        </w:rPr>
        <w:t xml:space="preserve">Within a defined band (typically ±15% from the Master Menu reference price), franchisees may set local prices to reflect cost-of-goods, rent, and local competitive conditions. Pricing must be entered in the ERP. Pricing more than 15% above or below requires written approval.</w:t>
      </w:r>
    </w:p>
    <w:p>
      <w:r>
        <w:br w:type="page"/>
      </w:r>
    </w:p>
    <w:p>
      <w:pPr>
        <w:pStyle w:val="Heading1"/>
        <w:spacing w:after="240" w:before="480"/>
      </w:pPr>
      <w:r>
        <w:rPr>
          <w:rFonts w:ascii="Georgia" w:cs="Georgia" w:eastAsia="Georgia" w:hAnsi="Georgia"/>
          <w:b/>
          <w:bCs/>
          <w:color w:val="990011"/>
          <w:sz w:val="36"/>
          <w:szCs w:val="36"/>
        </w:rPr>
        <w:t xml:space="preserve">6. Operating Procedures</w:t>
      </w:r>
    </w:p>
    <w:p>
      <w:pPr>
        <w:spacing w:after="120" w:line="300"/>
      </w:pPr>
      <w:r>
        <w:rPr>
          <w:rFonts w:ascii="Calibri" w:cs="Calibri" w:eastAsia="Calibri" w:hAnsi="Calibri"/>
          <w:sz w:val="22"/>
          <w:szCs w:val="22"/>
        </w:rPr>
        <w:t xml:space="preserve">Operating consistency is what customers feel without being able to articulate. Two Red Chilis open at 11am should both have prep done, music on, lights warmed, staff briefed, by 10:55am.</w:t>
      </w:r>
    </w:p>
    <w:p>
      <w:pPr>
        <w:pStyle w:val="Heading2"/>
        <w:spacing w:after="180" w:before="360"/>
      </w:pPr>
      <w:r>
        <w:rPr>
          <w:rFonts w:ascii="Georgia" w:cs="Georgia" w:eastAsia="Georgia" w:hAnsi="Georgia"/>
          <w:b/>
          <w:bCs/>
          <w:color w:val="990011"/>
          <w:sz w:val="26"/>
          <w:szCs w:val="26"/>
        </w:rPr>
        <w:t xml:space="preserve">6.1  Daily opening checklist (Family unit, abbreviated)</w:t>
      </w:r>
    </w:p>
    <w:p>
      <w:pPr>
        <w:spacing w:after="120" w:line="300"/>
      </w:pPr>
      <w:r>
        <w:rPr>
          <w:rFonts w:ascii="Calibri" w:cs="Calibri" w:eastAsia="Calibri" w:hAnsi="Calibri"/>
          <w:sz w:val="22"/>
          <w:szCs w:val="22"/>
        </w:rPr>
        <w:t xml:space="preserve">08:30 — Manager arrives. Reviews previous day's reports in ERP.</w:t>
      </w:r>
    </w:p>
    <w:p>
      <w:pPr>
        <w:spacing w:after="120" w:line="300"/>
      </w:pPr>
      <w:r>
        <w:rPr>
          <w:rFonts w:ascii="Calibri" w:cs="Calibri" w:eastAsia="Calibri" w:hAnsi="Calibri"/>
          <w:sz w:val="22"/>
          <w:szCs w:val="22"/>
        </w:rPr>
        <w:t xml:space="preserve">08:45 — Cleaning staff completes deep clean of dining + restrooms.</w:t>
      </w:r>
    </w:p>
    <w:p>
      <w:pPr>
        <w:spacing w:after="120" w:line="300"/>
      </w:pPr>
      <w:r>
        <w:rPr>
          <w:rFonts w:ascii="Calibri" w:cs="Calibri" w:eastAsia="Calibri" w:hAnsi="Calibri"/>
          <w:sz w:val="22"/>
          <w:szCs w:val="22"/>
        </w:rPr>
        <w:t xml:space="preserve">09:00 — Kitchen prep begins. Ingredients checked against approved supplier list.</w:t>
      </w:r>
    </w:p>
    <w:p>
      <w:pPr>
        <w:spacing w:after="120" w:line="300"/>
      </w:pPr>
      <w:r>
        <w:rPr>
          <w:rFonts w:ascii="Calibri" w:cs="Calibri" w:eastAsia="Calibri" w:hAnsi="Calibri"/>
          <w:sz w:val="22"/>
          <w:szCs w:val="22"/>
        </w:rPr>
        <w:t xml:space="preserve">09:30 — Floor staff arrive. Pre-shift briefing: today's reservations, VIP notes, dish-of-the-day.</w:t>
      </w:r>
    </w:p>
    <w:p>
      <w:pPr>
        <w:spacing w:after="120" w:line="300"/>
      </w:pPr>
      <w:r>
        <w:rPr>
          <w:rFonts w:ascii="Calibri" w:cs="Calibri" w:eastAsia="Calibri" w:hAnsi="Calibri"/>
          <w:sz w:val="22"/>
          <w:szCs w:val="22"/>
        </w:rPr>
        <w:t xml:space="preserve">10:00 — POS system online. Loyalty system check. Reservation list confirmed.</w:t>
      </w:r>
    </w:p>
    <w:p>
      <w:pPr>
        <w:spacing w:after="120" w:line="300"/>
      </w:pPr>
      <w:r>
        <w:rPr>
          <w:rFonts w:ascii="Calibri" w:cs="Calibri" w:eastAsia="Calibri" w:hAnsi="Calibri"/>
          <w:sz w:val="22"/>
          <w:szCs w:val="22"/>
        </w:rPr>
        <w:t xml:space="preserve">10:30 — Tables set. Linen verified. Centerpieces in place.</w:t>
      </w:r>
    </w:p>
    <w:p>
      <w:pPr>
        <w:spacing w:after="120" w:line="300"/>
      </w:pPr>
      <w:r>
        <w:rPr>
          <w:rFonts w:ascii="Calibri" w:cs="Calibri" w:eastAsia="Calibri" w:hAnsi="Calibri"/>
          <w:sz w:val="22"/>
          <w:szCs w:val="22"/>
        </w:rPr>
        <w:t xml:space="preserve">10:50 — Music on. Lights to operating warmth. Manager final walk-through.</w:t>
      </w:r>
    </w:p>
    <w:p>
      <w:pPr>
        <w:spacing w:after="120" w:line="300"/>
      </w:pPr>
      <w:r>
        <w:rPr>
          <w:rFonts w:ascii="Calibri" w:cs="Calibri" w:eastAsia="Calibri" w:hAnsi="Calibri"/>
          <w:sz w:val="22"/>
          <w:szCs w:val="22"/>
        </w:rPr>
        <w:t xml:space="preserve">11:00 — Doors open.</w:t>
      </w:r>
    </w:p>
    <w:p>
      <w:pPr>
        <w:pStyle w:val="Heading2"/>
        <w:spacing w:after="180" w:before="360"/>
      </w:pPr>
      <w:r>
        <w:rPr>
          <w:rFonts w:ascii="Georgia" w:cs="Georgia" w:eastAsia="Georgia" w:hAnsi="Georgia"/>
          <w:b/>
          <w:bCs/>
          <w:color w:val="990011"/>
          <w:sz w:val="26"/>
          <w:szCs w:val="26"/>
        </w:rPr>
        <w:t xml:space="preserve">6.2  Daily closing</w:t>
      </w:r>
    </w:p>
    <w:p>
      <w:pPr>
        <w:spacing w:after="120" w:line="300"/>
      </w:pPr>
      <w:r>
        <w:rPr>
          <w:rFonts w:ascii="Calibri" w:cs="Calibri" w:eastAsia="Calibri" w:hAnsi="Calibri"/>
          <w:sz w:val="22"/>
          <w:szCs w:val="22"/>
        </w:rPr>
        <w:t xml:space="preserve">Mirror of opening, in reverse. Cash reconciliation must be completed in the ERP before staff leave. Variance &gt; SAR 200 requires written explanation in the next morning's report.</w:t>
      </w:r>
    </w:p>
    <w:p>
      <w:pPr>
        <w:pStyle w:val="Heading2"/>
        <w:spacing w:after="180" w:before="360"/>
      </w:pPr>
      <w:r>
        <w:rPr>
          <w:rFonts w:ascii="Georgia" w:cs="Georgia" w:eastAsia="Georgia" w:hAnsi="Georgia"/>
          <w:b/>
          <w:bCs/>
          <w:color w:val="990011"/>
          <w:sz w:val="26"/>
          <w:szCs w:val="26"/>
        </w:rPr>
        <w:t xml:space="preserve">6.3  Reservation management (Family only)</w:t>
      </w:r>
    </w:p>
    <w:p>
      <w:pPr>
        <w:spacing w:after="120" w:line="300"/>
      </w:pPr>
      <w:r>
        <w:rPr>
          <w:rFonts w:ascii="Calibri" w:cs="Calibri" w:eastAsia="Calibri" w:hAnsi="Calibri"/>
          <w:sz w:val="22"/>
          <w:szCs w:val="22"/>
        </w:rPr>
        <w:t xml:space="preserve">All reservations are taken via the Red Chili app, web, WhatsApp, or phone. No paper diary. The ERP holds the reservation; staff may not 'hold tables' off-system.</w:t>
      </w:r>
    </w:p>
    <w:p>
      <w:pPr>
        <w:spacing w:after="120" w:line="300"/>
      </w:pPr>
      <w:r>
        <w:rPr>
          <w:rFonts w:ascii="Calibri" w:cs="Calibri" w:eastAsia="Calibri" w:hAnsi="Calibri"/>
          <w:sz w:val="22"/>
          <w:szCs w:val="22"/>
        </w:rPr>
        <w:t xml:space="preserve">No-show policy: 15 minutes' grace, then table released. Customer notified via the system. Repeat no-shows (3 in 6 months) require pre-payment for future reservations.</w:t>
      </w:r>
    </w:p>
    <w:p>
      <w:pPr>
        <w:pStyle w:val="Heading2"/>
        <w:spacing w:after="180" w:before="360"/>
      </w:pPr>
      <w:r>
        <w:rPr>
          <w:rFonts w:ascii="Georgia" w:cs="Georgia" w:eastAsia="Georgia" w:hAnsi="Georgia"/>
          <w:b/>
          <w:bCs/>
          <w:color w:val="990011"/>
          <w:sz w:val="26"/>
          <w:szCs w:val="26"/>
        </w:rPr>
        <w:t xml:space="preserve">6.4  Service standards (Family)</w:t>
      </w:r>
    </w:p>
    <w:p>
      <w:pPr>
        <w:pStyle w:val="ListParagraph"/>
        <w:numPr>
          <w:ilvl w:val="0"/>
          <w:numId w:val="2"/>
        </w:numPr>
        <w:spacing w:after="80" w:line="280"/>
      </w:pPr>
      <w:r>
        <w:rPr>
          <w:rFonts w:ascii="Calibri" w:cs="Calibri" w:eastAsia="Calibri" w:hAnsi="Calibri"/>
          <w:sz w:val="22"/>
          <w:szCs w:val="22"/>
        </w:rPr>
        <w:t xml:space="preserve">Greeting within 30 seconds of arrival.</w:t>
      </w:r>
    </w:p>
    <w:p>
      <w:pPr>
        <w:pStyle w:val="ListParagraph"/>
        <w:numPr>
          <w:ilvl w:val="0"/>
          <w:numId w:val="2"/>
        </w:numPr>
        <w:spacing w:after="80" w:line="280"/>
      </w:pPr>
      <w:r>
        <w:rPr>
          <w:rFonts w:ascii="Calibri" w:cs="Calibri" w:eastAsia="Calibri" w:hAnsi="Calibri"/>
          <w:sz w:val="22"/>
          <w:szCs w:val="22"/>
        </w:rPr>
        <w:t xml:space="preserve">Seating within 2 minutes (or honest update if waiting).</w:t>
      </w:r>
    </w:p>
    <w:p>
      <w:pPr>
        <w:pStyle w:val="ListParagraph"/>
        <w:numPr>
          <w:ilvl w:val="0"/>
          <w:numId w:val="2"/>
        </w:numPr>
        <w:spacing w:after="80" w:line="280"/>
      </w:pPr>
      <w:r>
        <w:rPr>
          <w:rFonts w:ascii="Calibri" w:cs="Calibri" w:eastAsia="Calibri" w:hAnsi="Calibri"/>
          <w:sz w:val="22"/>
          <w:szCs w:val="22"/>
        </w:rPr>
        <w:t xml:space="preserve">Water + warm towels at the table within 90 seconds of seating.</w:t>
      </w:r>
    </w:p>
    <w:p>
      <w:pPr>
        <w:pStyle w:val="ListParagraph"/>
        <w:numPr>
          <w:ilvl w:val="0"/>
          <w:numId w:val="2"/>
        </w:numPr>
        <w:spacing w:after="80" w:line="280"/>
      </w:pPr>
      <w:r>
        <w:rPr>
          <w:rFonts w:ascii="Calibri" w:cs="Calibri" w:eastAsia="Calibri" w:hAnsi="Calibri"/>
          <w:sz w:val="22"/>
          <w:szCs w:val="22"/>
        </w:rPr>
        <w:t xml:space="preserve">Order taken within 6 minutes of seating (or after a clear pause that indicates customer is ready).</w:t>
      </w:r>
    </w:p>
    <w:p>
      <w:pPr>
        <w:pStyle w:val="ListParagraph"/>
        <w:numPr>
          <w:ilvl w:val="0"/>
          <w:numId w:val="2"/>
        </w:numPr>
        <w:spacing w:after="80" w:line="280"/>
      </w:pPr>
      <w:r>
        <w:rPr>
          <w:rFonts w:ascii="Calibri" w:cs="Calibri" w:eastAsia="Calibri" w:hAnsi="Calibri"/>
          <w:sz w:val="22"/>
          <w:szCs w:val="22"/>
        </w:rPr>
        <w:t xml:space="preserve">First course at the table within 10 minutes of order (exceptions for slow-cooked dishes — communicate up front).</w:t>
      </w:r>
    </w:p>
    <w:p>
      <w:pPr>
        <w:pStyle w:val="ListParagraph"/>
        <w:numPr>
          <w:ilvl w:val="0"/>
          <w:numId w:val="2"/>
        </w:numPr>
        <w:spacing w:after="80" w:line="280"/>
      </w:pPr>
      <w:r>
        <w:rPr>
          <w:rFonts w:ascii="Calibri" w:cs="Calibri" w:eastAsia="Calibri" w:hAnsi="Calibri"/>
          <w:sz w:val="22"/>
          <w:szCs w:val="22"/>
        </w:rPr>
        <w:t xml:space="preserve">Bill presented within 3 minutes of request.</w:t>
      </w:r>
    </w:p>
    <w:p>
      <w:pPr>
        <w:pStyle w:val="Heading2"/>
        <w:spacing w:after="180" w:before="360"/>
      </w:pPr>
      <w:r>
        <w:rPr>
          <w:rFonts w:ascii="Georgia" w:cs="Georgia" w:eastAsia="Georgia" w:hAnsi="Georgia"/>
          <w:b/>
          <w:bCs/>
          <w:color w:val="990011"/>
          <w:sz w:val="26"/>
          <w:szCs w:val="26"/>
        </w:rPr>
        <w:t xml:space="preserve">6.5  Complaints handling</w:t>
      </w:r>
    </w:p>
    <w:p>
      <w:pPr>
        <w:pStyle w:val="ListParagraph"/>
        <w:numPr>
          <w:ilvl w:val="0"/>
          <w:numId w:val="3"/>
        </w:numPr>
        <w:spacing w:after="80" w:line="280"/>
      </w:pPr>
      <w:r>
        <w:rPr>
          <w:rFonts w:ascii="Calibri" w:cs="Calibri" w:eastAsia="Calibri" w:hAnsi="Calibri"/>
          <w:sz w:val="22"/>
          <w:szCs w:val="22"/>
        </w:rPr>
        <w:t xml:space="preserve">Listen first. Do not interrupt. Do not become defensive.</w:t>
      </w:r>
    </w:p>
    <w:p>
      <w:pPr>
        <w:pStyle w:val="ListParagraph"/>
        <w:numPr>
          <w:ilvl w:val="0"/>
          <w:numId w:val="3"/>
        </w:numPr>
        <w:spacing w:after="80" w:line="280"/>
      </w:pPr>
      <w:r>
        <w:rPr>
          <w:rFonts w:ascii="Calibri" w:cs="Calibri" w:eastAsia="Calibri" w:hAnsi="Calibri"/>
          <w:sz w:val="22"/>
          <w:szCs w:val="22"/>
        </w:rPr>
        <w:t xml:space="preserve">Acknowledge the issue in your own words to confirm understanding.</w:t>
      </w:r>
    </w:p>
    <w:p>
      <w:pPr>
        <w:pStyle w:val="ListParagraph"/>
        <w:numPr>
          <w:ilvl w:val="0"/>
          <w:numId w:val="3"/>
        </w:numPr>
        <w:spacing w:after="80" w:line="280"/>
      </w:pPr>
      <w:r>
        <w:rPr>
          <w:rFonts w:ascii="Calibri" w:cs="Calibri" w:eastAsia="Calibri" w:hAnsi="Calibri"/>
          <w:sz w:val="22"/>
          <w:szCs w:val="22"/>
        </w:rPr>
        <w:t xml:space="preserve">Apologize for the experience (not necessarily for fault — for the customer's experience).</w:t>
      </w:r>
    </w:p>
    <w:p>
      <w:pPr>
        <w:pStyle w:val="ListParagraph"/>
        <w:numPr>
          <w:ilvl w:val="0"/>
          <w:numId w:val="3"/>
        </w:numPr>
        <w:spacing w:after="80" w:line="280"/>
      </w:pPr>
      <w:r>
        <w:rPr>
          <w:rFonts w:ascii="Calibri" w:cs="Calibri" w:eastAsia="Calibri" w:hAnsi="Calibri"/>
          <w:sz w:val="22"/>
          <w:szCs w:val="22"/>
        </w:rPr>
        <w:t xml:space="preserve">Offer a remedy within manager authority (replate, replace, comp the dish, or comp the meal). Manager has authority up to SAR 500 without approval.</w:t>
      </w:r>
    </w:p>
    <w:p>
      <w:pPr>
        <w:pStyle w:val="ListParagraph"/>
        <w:numPr>
          <w:ilvl w:val="0"/>
          <w:numId w:val="3"/>
        </w:numPr>
        <w:spacing w:after="80" w:line="280"/>
      </w:pPr>
      <w:r>
        <w:rPr>
          <w:rFonts w:ascii="Calibri" w:cs="Calibri" w:eastAsia="Calibri" w:hAnsi="Calibri"/>
          <w:sz w:val="22"/>
          <w:szCs w:val="22"/>
        </w:rPr>
        <w:t xml:space="preserve">Log in ERP within the same shift. All complaints visible to Red Chili Group's customer experience team.</w:t>
      </w:r>
    </w:p>
    <w:p>
      <w:pPr>
        <w:pStyle w:val="ListParagraph"/>
        <w:numPr>
          <w:ilvl w:val="0"/>
          <w:numId w:val="3"/>
        </w:numPr>
        <w:spacing w:after="80" w:line="280"/>
      </w:pPr>
      <w:r>
        <w:rPr>
          <w:rFonts w:ascii="Calibri" w:cs="Calibri" w:eastAsia="Calibri" w:hAnsi="Calibri"/>
          <w:sz w:val="22"/>
          <w:szCs w:val="22"/>
        </w:rPr>
        <w:t xml:space="preserve">Follow up with the customer within 48 hours via the system.</w:t>
      </w:r>
    </w:p>
    <w:p>
      <w:r>
        <w:br w:type="page"/>
      </w:r>
    </w:p>
    <w:p>
      <w:pPr>
        <w:pStyle w:val="Heading1"/>
        <w:spacing w:after="240" w:before="480"/>
      </w:pPr>
      <w:r>
        <w:rPr>
          <w:rFonts w:ascii="Georgia" w:cs="Georgia" w:eastAsia="Georgia" w:hAnsi="Georgia"/>
          <w:b/>
          <w:bCs/>
          <w:color w:val="990011"/>
          <w:sz w:val="36"/>
          <w:szCs w:val="36"/>
        </w:rPr>
        <w:t xml:space="preserve">7. Staff &amp; Training</w:t>
      </w:r>
    </w:p>
    <w:p>
      <w:pPr>
        <w:pStyle w:val="Heading2"/>
        <w:spacing w:after="180" w:before="360"/>
      </w:pPr>
      <w:r>
        <w:rPr>
          <w:rFonts w:ascii="Georgia" w:cs="Georgia" w:eastAsia="Georgia" w:hAnsi="Georgia"/>
          <w:b/>
          <w:bCs/>
          <w:color w:val="990011"/>
          <w:sz w:val="26"/>
          <w:szCs w:val="26"/>
        </w:rPr>
        <w:t xml:space="preserve">7.1  Hiring standards</w:t>
      </w:r>
    </w:p>
    <w:p>
      <w:pPr>
        <w:spacing w:after="120" w:line="300"/>
      </w:pPr>
      <w:r>
        <w:rPr>
          <w:rFonts w:ascii="Calibri" w:cs="Calibri" w:eastAsia="Calibri" w:hAnsi="Calibri"/>
          <w:sz w:val="22"/>
          <w:szCs w:val="22"/>
        </w:rPr>
        <w:t xml:space="preserve">Red Chili units hire for attitude and train for skill. Specific hiring criteria are in Appendix C. The high-level rules:</w:t>
      </w:r>
    </w:p>
    <w:p>
      <w:pPr>
        <w:pStyle w:val="ListParagraph"/>
        <w:numPr>
          <w:ilvl w:val="0"/>
          <w:numId w:val="2"/>
        </w:numPr>
        <w:spacing w:after="80" w:line="280"/>
      </w:pPr>
      <w:r>
        <w:rPr>
          <w:rFonts w:ascii="Calibri" w:cs="Calibri" w:eastAsia="Calibri" w:hAnsi="Calibri"/>
          <w:sz w:val="22"/>
          <w:szCs w:val="22"/>
        </w:rPr>
        <w:t xml:space="preserve">All applicants must pass a basic English (or local language) communication test.</w:t>
      </w:r>
    </w:p>
    <w:p>
      <w:pPr>
        <w:pStyle w:val="ListParagraph"/>
        <w:numPr>
          <w:ilvl w:val="0"/>
          <w:numId w:val="2"/>
        </w:numPr>
        <w:spacing w:after="80" w:line="280"/>
      </w:pPr>
      <w:r>
        <w:rPr>
          <w:rFonts w:ascii="Calibri" w:cs="Calibri" w:eastAsia="Calibri" w:hAnsi="Calibri"/>
          <w:sz w:val="22"/>
          <w:szCs w:val="22"/>
        </w:rPr>
        <w:t xml:space="preserve">Customer-facing staff must demonstrate hospitality intuition — assessed by 30-minute role-play during interview.</w:t>
      </w:r>
    </w:p>
    <w:p>
      <w:pPr>
        <w:pStyle w:val="ListParagraph"/>
        <w:numPr>
          <w:ilvl w:val="0"/>
          <w:numId w:val="2"/>
        </w:numPr>
        <w:spacing w:after="80" w:line="280"/>
      </w:pPr>
      <w:r>
        <w:rPr>
          <w:rFonts w:ascii="Calibri" w:cs="Calibri" w:eastAsia="Calibri" w:hAnsi="Calibri"/>
          <w:sz w:val="22"/>
          <w:szCs w:val="22"/>
        </w:rPr>
        <w:t xml:space="preserve">All staff must have valid work authorization. No exceptions, regardless of cost pressure.</w:t>
      </w:r>
    </w:p>
    <w:p>
      <w:pPr>
        <w:pStyle w:val="ListParagraph"/>
        <w:numPr>
          <w:ilvl w:val="0"/>
          <w:numId w:val="2"/>
        </w:numPr>
        <w:spacing w:after="80" w:line="280"/>
      </w:pPr>
      <w:r>
        <w:rPr>
          <w:rFonts w:ascii="Calibri" w:cs="Calibri" w:eastAsia="Calibri" w:hAnsi="Calibri"/>
          <w:sz w:val="22"/>
          <w:szCs w:val="22"/>
        </w:rPr>
        <w:t xml:space="preserve">Saudi units must comply with Saudization quotas (Nitaqat). Currently green-band classification required to maintain franchise.</w:t>
      </w:r>
    </w:p>
    <w:p>
      <w:pPr>
        <w:pStyle w:val="Heading2"/>
        <w:spacing w:after="180" w:before="360"/>
      </w:pPr>
      <w:r>
        <w:rPr>
          <w:rFonts w:ascii="Georgia" w:cs="Georgia" w:eastAsia="Georgia" w:hAnsi="Georgia"/>
          <w:b/>
          <w:bCs/>
          <w:color w:val="990011"/>
          <w:sz w:val="26"/>
          <w:szCs w:val="26"/>
        </w:rPr>
        <w:t xml:space="preserve">7.2  Training programme</w:t>
      </w:r>
    </w:p>
    <w:p>
      <w:pPr>
        <w:spacing w:after="120" w:line="300"/>
      </w:pPr>
      <w:r>
        <w:rPr>
          <w:rFonts w:ascii="Calibri" w:cs="Calibri" w:eastAsia="Calibri" w:hAnsi="Calibri"/>
          <w:sz w:val="22"/>
          <w:szCs w:val="22"/>
        </w:rPr>
        <w:t xml:space="preserve">All new staff complete a structured training programme:</w:t>
      </w:r>
    </w:p>
    <w:p>
      <w:pPr>
        <w:pStyle w:val="ListParagraph"/>
        <w:numPr>
          <w:ilvl w:val="0"/>
          <w:numId w:val="2"/>
        </w:numPr>
        <w:spacing w:after="80" w:line="280"/>
      </w:pPr>
      <w:r>
        <w:rPr>
          <w:rFonts w:ascii="Calibri" w:cs="Calibri" w:eastAsia="Calibri" w:hAnsi="Calibri"/>
          <w:sz w:val="22"/>
          <w:szCs w:val="22"/>
        </w:rPr>
        <w:t xml:space="preserve">WEEK 1: Brand orientation, this manual, customer service basics, food safety certification.</w:t>
      </w:r>
    </w:p>
    <w:p>
      <w:pPr>
        <w:pStyle w:val="ListParagraph"/>
        <w:numPr>
          <w:ilvl w:val="0"/>
          <w:numId w:val="2"/>
        </w:numPr>
        <w:spacing w:after="80" w:line="280"/>
      </w:pPr>
      <w:r>
        <w:rPr>
          <w:rFonts w:ascii="Calibri" w:cs="Calibri" w:eastAsia="Calibri" w:hAnsi="Calibri"/>
          <w:sz w:val="22"/>
          <w:szCs w:val="22"/>
        </w:rPr>
        <w:t xml:space="preserve">WEEK 2: Role-specific training (kitchen, floor, cashier, manager) using approved training materials.</w:t>
      </w:r>
    </w:p>
    <w:p>
      <w:pPr>
        <w:pStyle w:val="ListParagraph"/>
        <w:numPr>
          <w:ilvl w:val="0"/>
          <w:numId w:val="2"/>
        </w:numPr>
        <w:spacing w:after="80" w:line="280"/>
      </w:pPr>
      <w:r>
        <w:rPr>
          <w:rFonts w:ascii="Calibri" w:cs="Calibri" w:eastAsia="Calibri" w:hAnsi="Calibri"/>
          <w:sz w:val="22"/>
          <w:szCs w:val="22"/>
        </w:rPr>
        <w:t xml:space="preserve">WEEK 3: Shadowing under a certified senior staff member.</w:t>
      </w:r>
    </w:p>
    <w:p>
      <w:pPr>
        <w:pStyle w:val="ListParagraph"/>
        <w:numPr>
          <w:ilvl w:val="0"/>
          <w:numId w:val="2"/>
        </w:numPr>
        <w:spacing w:after="80" w:line="280"/>
      </w:pPr>
      <w:r>
        <w:rPr>
          <w:rFonts w:ascii="Calibri" w:cs="Calibri" w:eastAsia="Calibri" w:hAnsi="Calibri"/>
          <w:sz w:val="22"/>
          <w:szCs w:val="22"/>
        </w:rPr>
        <w:t xml:space="preserve">WEEK 4: Solo operation under observation. Sign-off by manager.</w:t>
      </w:r>
    </w:p>
    <w:p>
      <w:pPr>
        <w:spacing w:after="120" w:line="300"/>
      </w:pPr>
      <w:r>
        <w:rPr>
          <w:rFonts w:ascii="Calibri" w:cs="Calibri" w:eastAsia="Calibri" w:hAnsi="Calibri"/>
          <w:sz w:val="22"/>
          <w:szCs w:val="22"/>
        </w:rPr>
        <w:t xml:space="preserve">Annual refresher training is mandatory for all staff. Records kept in ERP. Lapsed certifications mean staff cannot work customer-facing shifts until renewed.</w:t>
      </w:r>
    </w:p>
    <w:p>
      <w:pPr>
        <w:pStyle w:val="Heading2"/>
        <w:spacing w:after="180" w:before="360"/>
      </w:pPr>
      <w:r>
        <w:rPr>
          <w:rFonts w:ascii="Georgia" w:cs="Georgia" w:eastAsia="Georgia" w:hAnsi="Georgia"/>
          <w:b/>
          <w:bCs/>
          <w:color w:val="990011"/>
          <w:sz w:val="26"/>
          <w:szCs w:val="26"/>
        </w:rPr>
        <w:t xml:space="preserve">7.3  Dress code</w:t>
      </w:r>
    </w:p>
    <w:p>
      <w:pPr>
        <w:spacing w:after="120" w:line="300"/>
      </w:pPr>
      <w:r>
        <w:rPr>
          <w:rFonts w:ascii="Calibri" w:cs="Calibri" w:eastAsia="Calibri" w:hAnsi="Calibri"/>
          <w:sz w:val="22"/>
          <w:szCs w:val="22"/>
        </w:rPr>
        <w:t xml:space="preserve">Uniforms are supplied via the Franchise ERP from approved vendors at cost. Variations are not permitted. Personal modifications (rolling sleeves, custom buttons, name pins not issued by Red Chili) are not allowed.</w:t>
      </w:r>
    </w:p>
    <w:p>
      <w:pPr>
        <w:spacing w:after="120" w:line="300"/>
      </w:pPr>
      <w:r>
        <w:rPr>
          <w:rFonts w:ascii="Calibri" w:cs="Calibri" w:eastAsia="Calibri" w:hAnsi="Calibri"/>
          <w:sz w:val="22"/>
          <w:szCs w:val="22"/>
        </w:rPr>
        <w:t xml:space="preserve">Hair, beards, makeup, and jewelry standards follow halal food safety guidelines and Red Chili's brand presentation standards (detailed in Appendix D).</w:t>
      </w:r>
    </w:p>
    <w:p>
      <w:pPr>
        <w:pStyle w:val="Heading2"/>
        <w:spacing w:after="180" w:before="360"/>
      </w:pPr>
      <w:r>
        <w:rPr>
          <w:rFonts w:ascii="Georgia" w:cs="Georgia" w:eastAsia="Georgia" w:hAnsi="Georgia"/>
          <w:b/>
          <w:bCs/>
          <w:color w:val="990011"/>
          <w:sz w:val="26"/>
          <w:szCs w:val="26"/>
        </w:rPr>
        <w:t xml:space="preserve">7.4  Compensation philosophy</w:t>
      </w:r>
    </w:p>
    <w:p>
      <w:pPr>
        <w:spacing w:after="120" w:line="300"/>
      </w:pPr>
      <w:r>
        <w:rPr>
          <w:rFonts w:ascii="Calibri" w:cs="Calibri" w:eastAsia="Calibri" w:hAnsi="Calibri"/>
          <w:sz w:val="22"/>
          <w:szCs w:val="22"/>
        </w:rPr>
        <w:t xml:space="preserve">Red Chili recommends franchisees pay above the local restaurant industry median. We don't enforce wage rates, but we do measure staff turnover. Units with turnover &gt; 60% annually are subject to operational review and may face restrictions on opening additional units.</w:t>
      </w:r>
    </w:p>
    <w:p>
      <w:r>
        <w:br w:type="page"/>
      </w:r>
    </w:p>
    <w:p>
      <w:pPr>
        <w:pStyle w:val="Heading1"/>
        <w:spacing w:after="240" w:before="480"/>
      </w:pPr>
      <w:r>
        <w:rPr>
          <w:rFonts w:ascii="Georgia" w:cs="Georgia" w:eastAsia="Georgia" w:hAnsi="Georgia"/>
          <w:b/>
          <w:bCs/>
          <w:color w:val="990011"/>
          <w:sz w:val="36"/>
          <w:szCs w:val="36"/>
        </w:rPr>
        <w:t xml:space="preserve">8. Supply Chain Rules</w:t>
      </w:r>
    </w:p>
    <w:p>
      <w:pPr>
        <w:pStyle w:val="Heading2"/>
        <w:spacing w:after="180" w:before="360"/>
      </w:pPr>
      <w:r>
        <w:rPr>
          <w:rFonts w:ascii="Georgia" w:cs="Georgia" w:eastAsia="Georgia" w:hAnsi="Georgia"/>
          <w:b/>
          <w:bCs/>
          <w:color w:val="990011"/>
          <w:sz w:val="26"/>
          <w:szCs w:val="26"/>
        </w:rPr>
        <w:t xml:space="preserve">8.1  Approved suppliers</w:t>
      </w:r>
    </w:p>
    <w:p>
      <w:pPr>
        <w:spacing w:after="120" w:line="300"/>
      </w:pPr>
      <w:r>
        <w:rPr>
          <w:rFonts w:ascii="Calibri" w:cs="Calibri" w:eastAsia="Calibri" w:hAnsi="Calibri"/>
          <w:sz w:val="22"/>
          <w:szCs w:val="22"/>
        </w:rPr>
        <w:t xml:space="preserve">The Approved Supplier List (ASL) is maintained in the Franchise ERP and updated monthly. The ASL specifies, for each ingredient or material:</w:t>
      </w:r>
    </w:p>
    <w:p>
      <w:pPr>
        <w:pStyle w:val="ListParagraph"/>
        <w:numPr>
          <w:ilvl w:val="0"/>
          <w:numId w:val="2"/>
        </w:numPr>
        <w:spacing w:after="80" w:line="280"/>
      </w:pPr>
      <w:r>
        <w:rPr>
          <w:rFonts w:ascii="Calibri" w:cs="Calibri" w:eastAsia="Calibri" w:hAnsi="Calibri"/>
          <w:sz w:val="22"/>
          <w:szCs w:val="22"/>
        </w:rPr>
        <w:t xml:space="preserve">Approved supplier names and SKUs.</w:t>
      </w:r>
    </w:p>
    <w:p>
      <w:pPr>
        <w:pStyle w:val="ListParagraph"/>
        <w:numPr>
          <w:ilvl w:val="0"/>
          <w:numId w:val="2"/>
        </w:numPr>
        <w:spacing w:after="80" w:line="280"/>
      </w:pPr>
      <w:r>
        <w:rPr>
          <w:rFonts w:ascii="Calibri" w:cs="Calibri" w:eastAsia="Calibri" w:hAnsi="Calibri"/>
          <w:sz w:val="22"/>
          <w:szCs w:val="22"/>
        </w:rPr>
        <w:t xml:space="preserve">Substitute suppliers for supply disruption.</w:t>
      </w:r>
    </w:p>
    <w:p>
      <w:pPr>
        <w:pStyle w:val="ListParagraph"/>
        <w:numPr>
          <w:ilvl w:val="0"/>
          <w:numId w:val="2"/>
        </w:numPr>
        <w:spacing w:after="80" w:line="280"/>
      </w:pPr>
      <w:r>
        <w:rPr>
          <w:rFonts w:ascii="Calibri" w:cs="Calibri" w:eastAsia="Calibri" w:hAnsi="Calibri"/>
          <w:sz w:val="22"/>
          <w:szCs w:val="22"/>
        </w:rPr>
        <w:t xml:space="preserve">Pricing benchmarks (target unit cost).</w:t>
      </w:r>
    </w:p>
    <w:p>
      <w:pPr>
        <w:pStyle w:val="ListParagraph"/>
        <w:numPr>
          <w:ilvl w:val="0"/>
          <w:numId w:val="2"/>
        </w:numPr>
        <w:spacing w:after="80" w:line="280"/>
      </w:pPr>
      <w:r>
        <w:rPr>
          <w:rFonts w:ascii="Calibri" w:cs="Calibri" w:eastAsia="Calibri" w:hAnsi="Calibri"/>
          <w:sz w:val="22"/>
          <w:szCs w:val="22"/>
        </w:rPr>
        <w:t xml:space="preserve">Quality specifications and acceptance criteria.</w:t>
      </w:r>
    </w:p>
    <w:p>
      <w:pPr>
        <w:spacing w:after="120" w:line="300"/>
      </w:pPr>
      <w:r>
        <w:rPr>
          <w:rFonts w:ascii="Calibri" w:cs="Calibri" w:eastAsia="Calibri" w:hAnsi="Calibri"/>
          <w:sz w:val="22"/>
          <w:szCs w:val="22"/>
        </w:rPr>
        <w:t xml:space="preserve">Franchisees must purchase from the ASL. Off-list purchases are not permitted except in genuine supply emergencies, with same-day notification to Red Chili Group and a documented return to ASL within 7 days.</w:t>
      </w:r>
    </w:p>
    <w:p>
      <w:pPr>
        <w:pStyle w:val="Heading2"/>
        <w:spacing w:after="180" w:before="360"/>
      </w:pPr>
      <w:r>
        <w:rPr>
          <w:rFonts w:ascii="Georgia" w:cs="Georgia" w:eastAsia="Georgia" w:hAnsi="Georgia"/>
          <w:b/>
          <w:bCs/>
          <w:color w:val="990011"/>
          <w:sz w:val="26"/>
          <w:szCs w:val="26"/>
        </w:rPr>
        <w:t xml:space="preserve">8.2  Halal certification</w:t>
      </w:r>
    </w:p>
    <w:p>
      <w:pPr>
        <w:spacing w:after="120" w:line="300"/>
      </w:pPr>
      <w:r>
        <w:rPr>
          <w:rFonts w:ascii="Calibri" w:cs="Calibri" w:eastAsia="Calibri" w:hAnsi="Calibri"/>
          <w:sz w:val="22"/>
          <w:szCs w:val="22"/>
        </w:rPr>
        <w:t xml:space="preserve">Every meat, poultry, and animal-derived ingredient must carry valid halal certification from a recognized authority. Certificates must be on file in the ERP and renewed before expiry. Spot audits will require physical certificate inspection.</w:t>
      </w:r>
    </w:p>
    <w:p>
      <w:pPr>
        <w:pStyle w:val="Heading2"/>
        <w:spacing w:after="180" w:before="360"/>
      </w:pPr>
      <w:r>
        <w:rPr>
          <w:rFonts w:ascii="Georgia" w:cs="Georgia" w:eastAsia="Georgia" w:hAnsi="Georgia"/>
          <w:b/>
          <w:bCs/>
          <w:color w:val="990011"/>
          <w:sz w:val="26"/>
          <w:szCs w:val="26"/>
        </w:rPr>
        <w:t xml:space="preserve">8.3  Cold chain integrity</w:t>
      </w:r>
    </w:p>
    <w:p>
      <w:pPr>
        <w:spacing w:after="120" w:line="300"/>
      </w:pPr>
      <w:r>
        <w:rPr>
          <w:rFonts w:ascii="Calibri" w:cs="Calibri" w:eastAsia="Calibri" w:hAnsi="Calibri"/>
          <w:sz w:val="22"/>
          <w:szCs w:val="22"/>
        </w:rPr>
        <w:t xml:space="preserve">All temperature-sensitive deliveries are accompanied by a temperature log. Receiving staff must verify temperature on arrival; out-of-spec deliveries are rejected and the supplier reported in the ERP.</w:t>
      </w:r>
    </w:p>
    <w:p>
      <w:pPr>
        <w:pStyle w:val="Heading2"/>
        <w:spacing w:after="180" w:before="360"/>
      </w:pPr>
      <w:r>
        <w:rPr>
          <w:rFonts w:ascii="Georgia" w:cs="Georgia" w:eastAsia="Georgia" w:hAnsi="Georgia"/>
          <w:b/>
          <w:bCs/>
          <w:color w:val="990011"/>
          <w:sz w:val="26"/>
          <w:szCs w:val="26"/>
        </w:rPr>
        <w:t xml:space="preserve">8.4  Inventory and ordering</w:t>
      </w:r>
    </w:p>
    <w:p>
      <w:pPr>
        <w:spacing w:after="120" w:line="300"/>
      </w:pPr>
      <w:r>
        <w:rPr>
          <w:rFonts w:ascii="Calibri" w:cs="Calibri" w:eastAsia="Calibri" w:hAnsi="Calibri"/>
          <w:sz w:val="22"/>
          <w:szCs w:val="22"/>
        </w:rPr>
        <w:t xml:space="preserve">All ordering goes through the ERP. Stock levels are tracked in real-time via POS integration. Reorder points and economic order quantities are pre-set by sub-brand; franchisees may adjust within bounds.</w:t>
      </w:r>
    </w:p>
    <w:p>
      <w:r>
        <w:br w:type="page"/>
      </w:r>
    </w:p>
    <w:p>
      <w:pPr>
        <w:pStyle w:val="Heading1"/>
        <w:spacing w:after="240" w:before="480"/>
      </w:pPr>
      <w:r>
        <w:rPr>
          <w:rFonts w:ascii="Georgia" w:cs="Georgia" w:eastAsia="Georgia" w:hAnsi="Georgia"/>
          <w:b/>
          <w:bCs/>
          <w:color w:val="990011"/>
          <w:sz w:val="36"/>
          <w:szCs w:val="36"/>
        </w:rPr>
        <w:t xml:space="preserve">9. Technology Platform</w:t>
      </w:r>
    </w:p>
    <w:p>
      <w:pPr>
        <w:spacing w:after="120" w:line="300"/>
      </w:pPr>
      <w:r>
        <w:rPr>
          <w:rFonts w:ascii="Calibri" w:cs="Calibri" w:eastAsia="Calibri" w:hAnsi="Calibri"/>
          <w:sz w:val="22"/>
          <w:szCs w:val="22"/>
        </w:rPr>
        <w:t xml:space="preserve">Red Chili's franchise system runs on a single unified ERP — built and operated by Vivid Verse Global (VVG UK). Use of this platform is mandatory; substitution is not permitted.</w:t>
      </w:r>
    </w:p>
    <w:p>
      <w:pPr>
        <w:pStyle w:val="Heading2"/>
        <w:spacing w:after="180" w:before="360"/>
      </w:pPr>
      <w:r>
        <w:rPr>
          <w:rFonts w:ascii="Georgia" w:cs="Georgia" w:eastAsia="Georgia" w:hAnsi="Georgia"/>
          <w:b/>
          <w:bCs/>
          <w:color w:val="990011"/>
          <w:sz w:val="26"/>
          <w:szCs w:val="26"/>
        </w:rPr>
        <w:t xml:space="preserve">9.1  What the platform includes</w:t>
      </w:r>
    </w:p>
    <w:p>
      <w:pPr>
        <w:pStyle w:val="ListParagraph"/>
        <w:numPr>
          <w:ilvl w:val="0"/>
          <w:numId w:val="2"/>
        </w:numPr>
        <w:spacing w:after="80" w:line="280"/>
      </w:pPr>
      <w:r>
        <w:rPr>
          <w:rFonts w:ascii="Calibri" w:cs="Calibri" w:eastAsia="Calibri" w:hAnsi="Calibri"/>
          <w:sz w:val="22"/>
          <w:szCs w:val="22"/>
        </w:rPr>
        <w:t xml:space="preserve">Point-of-sale (POS) integrated with kitchen display system.</w:t>
      </w:r>
    </w:p>
    <w:p>
      <w:pPr>
        <w:pStyle w:val="ListParagraph"/>
        <w:numPr>
          <w:ilvl w:val="0"/>
          <w:numId w:val="2"/>
        </w:numPr>
        <w:spacing w:after="80" w:line="280"/>
      </w:pPr>
      <w:r>
        <w:rPr>
          <w:rFonts w:ascii="Calibri" w:cs="Calibri" w:eastAsia="Calibri" w:hAnsi="Calibri"/>
          <w:sz w:val="22"/>
          <w:szCs w:val="22"/>
        </w:rPr>
        <w:t xml:space="preserve">Inventory and supply chain management (linked to ASL).</w:t>
      </w:r>
    </w:p>
    <w:p>
      <w:pPr>
        <w:pStyle w:val="ListParagraph"/>
        <w:numPr>
          <w:ilvl w:val="0"/>
          <w:numId w:val="2"/>
        </w:numPr>
        <w:spacing w:after="80" w:line="280"/>
      </w:pPr>
      <w:r>
        <w:rPr>
          <w:rFonts w:ascii="Calibri" w:cs="Calibri" w:eastAsia="Calibri" w:hAnsi="Calibri"/>
          <w:sz w:val="22"/>
          <w:szCs w:val="22"/>
        </w:rPr>
        <w:t xml:space="preserve">Reservation system (Family) and waitlist (Express).</w:t>
      </w:r>
    </w:p>
    <w:p>
      <w:pPr>
        <w:pStyle w:val="ListParagraph"/>
        <w:numPr>
          <w:ilvl w:val="0"/>
          <w:numId w:val="2"/>
        </w:numPr>
        <w:spacing w:after="80" w:line="280"/>
      </w:pPr>
      <w:r>
        <w:rPr>
          <w:rFonts w:ascii="Calibri" w:cs="Calibri" w:eastAsia="Calibri" w:hAnsi="Calibri"/>
          <w:sz w:val="22"/>
          <w:szCs w:val="22"/>
        </w:rPr>
        <w:t xml:space="preserve">Loyalty programme management — Royalty Club tiers, wallet, redemption.</w:t>
      </w:r>
    </w:p>
    <w:p>
      <w:pPr>
        <w:pStyle w:val="ListParagraph"/>
        <w:numPr>
          <w:ilvl w:val="0"/>
          <w:numId w:val="2"/>
        </w:numPr>
        <w:spacing w:after="80" w:line="280"/>
      </w:pPr>
      <w:r>
        <w:rPr>
          <w:rFonts w:ascii="Calibri" w:cs="Calibri" w:eastAsia="Calibri" w:hAnsi="Calibri"/>
          <w:sz w:val="22"/>
          <w:szCs w:val="22"/>
        </w:rPr>
        <w:t xml:space="preserve">Customer feedback collection and review management.</w:t>
      </w:r>
    </w:p>
    <w:p>
      <w:pPr>
        <w:pStyle w:val="ListParagraph"/>
        <w:numPr>
          <w:ilvl w:val="0"/>
          <w:numId w:val="2"/>
        </w:numPr>
        <w:spacing w:after="80" w:line="280"/>
      </w:pPr>
      <w:r>
        <w:rPr>
          <w:rFonts w:ascii="Calibri" w:cs="Calibri" w:eastAsia="Calibri" w:hAnsi="Calibri"/>
          <w:sz w:val="22"/>
          <w:szCs w:val="22"/>
        </w:rPr>
        <w:t xml:space="preserve">Financial reporting and royalty calculation (auto-debited monthly).</w:t>
      </w:r>
    </w:p>
    <w:p>
      <w:pPr>
        <w:pStyle w:val="ListParagraph"/>
        <w:numPr>
          <w:ilvl w:val="0"/>
          <w:numId w:val="2"/>
        </w:numPr>
        <w:spacing w:after="80" w:line="280"/>
      </w:pPr>
      <w:r>
        <w:rPr>
          <w:rFonts w:ascii="Calibri" w:cs="Calibri" w:eastAsia="Calibri" w:hAnsi="Calibri"/>
          <w:sz w:val="22"/>
          <w:szCs w:val="22"/>
        </w:rPr>
        <w:t xml:space="preserve">Performance dashboards for manager and franchisee.</w:t>
      </w:r>
    </w:p>
    <w:p>
      <w:pPr>
        <w:pStyle w:val="ListParagraph"/>
        <w:numPr>
          <w:ilvl w:val="0"/>
          <w:numId w:val="2"/>
        </w:numPr>
        <w:spacing w:after="80" w:line="280"/>
      </w:pPr>
      <w:r>
        <w:rPr>
          <w:rFonts w:ascii="Calibri" w:cs="Calibri" w:eastAsia="Calibri" w:hAnsi="Calibri"/>
          <w:sz w:val="22"/>
          <w:szCs w:val="22"/>
        </w:rPr>
        <w:t xml:space="preserve">Communication channel with Red Chili Group support.</w:t>
      </w:r>
    </w:p>
    <w:p>
      <w:pPr>
        <w:pStyle w:val="Heading2"/>
        <w:spacing w:after="180" w:before="360"/>
      </w:pPr>
      <w:r>
        <w:rPr>
          <w:rFonts w:ascii="Georgia" w:cs="Georgia" w:eastAsia="Georgia" w:hAnsi="Georgia"/>
          <w:b/>
          <w:bCs/>
          <w:color w:val="990011"/>
          <w:sz w:val="26"/>
          <w:szCs w:val="26"/>
        </w:rPr>
        <w:t xml:space="preserve">9.2  Tech access fee</w:t>
      </w:r>
    </w:p>
    <w:p>
      <w:pPr>
        <w:spacing w:after="120" w:line="300"/>
      </w:pPr>
      <w:r>
        <w:rPr>
          <w:rFonts w:ascii="Calibri" w:cs="Calibri" w:eastAsia="Calibri" w:hAnsi="Calibri"/>
          <w:sz w:val="22"/>
          <w:szCs w:val="22"/>
        </w:rPr>
        <w:t xml:space="preserve">An annual technology access fee is charged per unit, set at the time of franchise agreement. The fee covers hosting, support, updates, and the standard ERP modules. Premium analytics modules (e.g., predictive forecasting) are optional add-ons.</w:t>
      </w:r>
    </w:p>
    <w:p>
      <w:pPr>
        <w:pStyle w:val="Heading2"/>
        <w:spacing w:after="180" w:before="360"/>
      </w:pPr>
      <w:r>
        <w:rPr>
          <w:rFonts w:ascii="Georgia" w:cs="Georgia" w:eastAsia="Georgia" w:hAnsi="Georgia"/>
          <w:b/>
          <w:bCs/>
          <w:color w:val="990011"/>
          <w:sz w:val="26"/>
          <w:szCs w:val="26"/>
        </w:rPr>
        <w:t xml:space="preserve">9.3  Data ownership</w:t>
      </w:r>
    </w:p>
    <w:p>
      <w:pPr>
        <w:spacing w:after="120" w:line="300"/>
      </w:pPr>
      <w:r>
        <w:rPr>
          <w:rFonts w:ascii="Calibri" w:cs="Calibri" w:eastAsia="Calibri" w:hAnsi="Calibri"/>
          <w:sz w:val="22"/>
          <w:szCs w:val="22"/>
        </w:rPr>
        <w:t xml:space="preserve">Customer data captured through the platform is jointly owned by Red Chili Group and the franchisee for the unit's catchment, with Red Chili Group holding the master right to use aggregated data for system-wide analysis. Franchisee may export their unit's data on demand. On termination, franchisee loses access; data continues to belong to the network.</w:t>
      </w:r>
    </w:p>
    <w:p>
      <w:pPr>
        <w:pStyle w:val="Heading2"/>
        <w:spacing w:after="180" w:before="360"/>
      </w:pPr>
      <w:r>
        <w:rPr>
          <w:rFonts w:ascii="Georgia" w:cs="Georgia" w:eastAsia="Georgia" w:hAnsi="Georgia"/>
          <w:b/>
          <w:bCs/>
          <w:color w:val="990011"/>
          <w:sz w:val="26"/>
          <w:szCs w:val="26"/>
        </w:rPr>
        <w:t xml:space="preserve">9.4  Required usage</w:t>
      </w:r>
    </w:p>
    <w:p>
      <w:pPr>
        <w:spacing w:after="120" w:line="300"/>
      </w:pPr>
      <w:r>
        <w:rPr>
          <w:rFonts w:ascii="Calibri" w:cs="Calibri" w:eastAsia="Calibri" w:hAnsi="Calibri"/>
          <w:sz w:val="22"/>
          <w:szCs w:val="22"/>
        </w:rPr>
        <w:t xml:space="preserve">Every customer transaction must go through the POS. Cash-handling outside the system, paper-based ordering, or hybrid systems are not permitted. Red Chili Group may audit POS data against bank deposits.</w:t>
      </w:r>
    </w:p>
    <w:p>
      <w:r>
        <w:br w:type="page"/>
      </w:r>
    </w:p>
    <w:p>
      <w:pPr>
        <w:pStyle w:val="Heading1"/>
        <w:spacing w:after="240" w:before="480"/>
      </w:pPr>
      <w:r>
        <w:rPr>
          <w:rFonts w:ascii="Georgia" w:cs="Georgia" w:eastAsia="Georgia" w:hAnsi="Georgia"/>
          <w:b/>
          <w:bCs/>
          <w:color w:val="990011"/>
          <w:sz w:val="36"/>
          <w:szCs w:val="36"/>
        </w:rPr>
        <w:t xml:space="preserve">10. Marketing &amp; Brand Compliance</w:t>
      </w:r>
    </w:p>
    <w:p>
      <w:pPr>
        <w:pStyle w:val="Heading2"/>
        <w:spacing w:after="180" w:before="360"/>
      </w:pPr>
      <w:r>
        <w:rPr>
          <w:rFonts w:ascii="Georgia" w:cs="Georgia" w:eastAsia="Georgia" w:hAnsi="Georgia"/>
          <w:b/>
          <w:bCs/>
          <w:color w:val="990011"/>
          <w:sz w:val="26"/>
          <w:szCs w:val="26"/>
        </w:rPr>
        <w:t xml:space="preserve">10.1  What franchisees may do locally</w:t>
      </w:r>
    </w:p>
    <w:p>
      <w:pPr>
        <w:pStyle w:val="ListParagraph"/>
        <w:numPr>
          <w:ilvl w:val="0"/>
          <w:numId w:val="2"/>
        </w:numPr>
        <w:spacing w:after="80" w:line="280"/>
      </w:pPr>
      <w:r>
        <w:rPr>
          <w:rFonts w:ascii="Calibri" w:cs="Calibri" w:eastAsia="Calibri" w:hAnsi="Calibri"/>
          <w:sz w:val="22"/>
          <w:szCs w:val="22"/>
        </w:rPr>
        <w:t xml:space="preserve">Local print, radio, and digital advertising using Red Chili Group-provided creative assets.</w:t>
      </w:r>
    </w:p>
    <w:p>
      <w:pPr>
        <w:pStyle w:val="ListParagraph"/>
        <w:numPr>
          <w:ilvl w:val="0"/>
          <w:numId w:val="2"/>
        </w:numPr>
        <w:spacing w:after="80" w:line="280"/>
      </w:pPr>
      <w:r>
        <w:rPr>
          <w:rFonts w:ascii="Calibri" w:cs="Calibri" w:eastAsia="Calibri" w:hAnsi="Calibri"/>
          <w:sz w:val="22"/>
          <w:szCs w:val="22"/>
        </w:rPr>
        <w:t xml:space="preserve">Social media accounts, on platforms approved by Red Chili Group, using approved templates.</w:t>
      </w:r>
    </w:p>
    <w:p>
      <w:pPr>
        <w:pStyle w:val="ListParagraph"/>
        <w:numPr>
          <w:ilvl w:val="0"/>
          <w:numId w:val="2"/>
        </w:numPr>
        <w:spacing w:after="80" w:line="280"/>
      </w:pPr>
      <w:r>
        <w:rPr>
          <w:rFonts w:ascii="Calibri" w:cs="Calibri" w:eastAsia="Calibri" w:hAnsi="Calibri"/>
          <w:sz w:val="22"/>
          <w:szCs w:val="22"/>
        </w:rPr>
        <w:t xml:space="preserve">Local sponsorships of community events, schools, and charities (subject to alignment with brand values).</w:t>
      </w:r>
    </w:p>
    <w:p>
      <w:pPr>
        <w:pStyle w:val="ListParagraph"/>
        <w:numPr>
          <w:ilvl w:val="0"/>
          <w:numId w:val="2"/>
        </w:numPr>
        <w:spacing w:after="80" w:line="280"/>
      </w:pPr>
      <w:r>
        <w:rPr>
          <w:rFonts w:ascii="Calibri" w:cs="Calibri" w:eastAsia="Calibri" w:hAnsi="Calibri"/>
          <w:sz w:val="22"/>
          <w:szCs w:val="22"/>
        </w:rPr>
        <w:t xml:space="preserve">In-store promotions within Red Chili's standard promotional calendar.</w:t>
      </w:r>
    </w:p>
    <w:p>
      <w:pPr>
        <w:pStyle w:val="Heading2"/>
        <w:spacing w:after="180" w:before="360"/>
      </w:pPr>
      <w:r>
        <w:rPr>
          <w:rFonts w:ascii="Georgia" w:cs="Georgia" w:eastAsia="Georgia" w:hAnsi="Georgia"/>
          <w:b/>
          <w:bCs/>
          <w:color w:val="990011"/>
          <w:sz w:val="26"/>
          <w:szCs w:val="26"/>
        </w:rPr>
        <w:t xml:space="preserve">10.2  What franchisees may not do</w:t>
      </w:r>
    </w:p>
    <w:p>
      <w:pPr>
        <w:pStyle w:val="ListParagraph"/>
        <w:numPr>
          <w:ilvl w:val="0"/>
          <w:numId w:val="2"/>
        </w:numPr>
        <w:spacing w:after="80" w:line="280"/>
      </w:pPr>
      <w:r>
        <w:rPr>
          <w:rFonts w:ascii="Calibri" w:cs="Calibri" w:eastAsia="Calibri" w:hAnsi="Calibri"/>
          <w:sz w:val="22"/>
          <w:szCs w:val="22"/>
        </w:rPr>
        <w:t xml:space="preserve">Modify the Red Chili logo, colour palette, or typography.</w:t>
      </w:r>
    </w:p>
    <w:p>
      <w:pPr>
        <w:pStyle w:val="ListParagraph"/>
        <w:numPr>
          <w:ilvl w:val="0"/>
          <w:numId w:val="2"/>
        </w:numPr>
        <w:spacing w:after="80" w:line="280"/>
      </w:pPr>
      <w:r>
        <w:rPr>
          <w:rFonts w:ascii="Calibri" w:cs="Calibri" w:eastAsia="Calibri" w:hAnsi="Calibri"/>
          <w:sz w:val="22"/>
          <w:szCs w:val="22"/>
        </w:rPr>
        <w:t xml:space="preserve">Run promotions that conflict with the Master Menu pricing band (e.g., '50% off' is not permitted; loyalty rewards are).</w:t>
      </w:r>
    </w:p>
    <w:p>
      <w:pPr>
        <w:pStyle w:val="ListParagraph"/>
        <w:numPr>
          <w:ilvl w:val="0"/>
          <w:numId w:val="2"/>
        </w:numPr>
        <w:spacing w:after="80" w:line="280"/>
      </w:pPr>
      <w:r>
        <w:rPr>
          <w:rFonts w:ascii="Calibri" w:cs="Calibri" w:eastAsia="Calibri" w:hAnsi="Calibri"/>
          <w:sz w:val="22"/>
          <w:szCs w:val="22"/>
        </w:rPr>
        <w:t xml:space="preserve">Make health, dietary, or origin claims not pre-approved by Red Chili Group (e.g., 'organic,' 'farm-to-table,' 'authentic').</w:t>
      </w:r>
    </w:p>
    <w:p>
      <w:pPr>
        <w:pStyle w:val="ListParagraph"/>
        <w:numPr>
          <w:ilvl w:val="0"/>
          <w:numId w:val="2"/>
        </w:numPr>
        <w:spacing w:after="80" w:line="280"/>
      </w:pPr>
      <w:r>
        <w:rPr>
          <w:rFonts w:ascii="Calibri" w:cs="Calibri" w:eastAsia="Calibri" w:hAnsi="Calibri"/>
          <w:sz w:val="22"/>
          <w:szCs w:val="22"/>
        </w:rPr>
        <w:t xml:space="preserve">Engage celebrities or influencers without Red Chili Group's approval.</w:t>
      </w:r>
    </w:p>
    <w:p>
      <w:pPr>
        <w:pStyle w:val="ListParagraph"/>
        <w:numPr>
          <w:ilvl w:val="0"/>
          <w:numId w:val="2"/>
        </w:numPr>
        <w:spacing w:after="80" w:line="280"/>
      </w:pPr>
      <w:r>
        <w:rPr>
          <w:rFonts w:ascii="Calibri" w:cs="Calibri" w:eastAsia="Calibri" w:hAnsi="Calibri"/>
          <w:sz w:val="22"/>
          <w:szCs w:val="22"/>
        </w:rPr>
        <w:t xml:space="preserve">Comment on competitors, current affairs, or political topics on any Red Chili-branded channel.</w:t>
      </w:r>
    </w:p>
    <w:p>
      <w:pPr>
        <w:pStyle w:val="Heading2"/>
        <w:spacing w:after="180" w:before="360"/>
      </w:pPr>
      <w:r>
        <w:rPr>
          <w:rFonts w:ascii="Georgia" w:cs="Georgia" w:eastAsia="Georgia" w:hAnsi="Georgia"/>
          <w:b/>
          <w:bCs/>
          <w:color w:val="990011"/>
          <w:sz w:val="26"/>
          <w:szCs w:val="26"/>
        </w:rPr>
        <w:t xml:space="preserve">10.3  The marketing fund</w:t>
      </w:r>
    </w:p>
    <w:p>
      <w:pPr>
        <w:spacing w:after="120" w:line="300"/>
      </w:pPr>
      <w:r>
        <w:rPr>
          <w:rFonts w:ascii="Calibri" w:cs="Calibri" w:eastAsia="Calibri" w:hAnsi="Calibri"/>
          <w:sz w:val="22"/>
          <w:szCs w:val="22"/>
        </w:rPr>
        <w:t xml:space="preserve">Franchisees contribute 1% of revenue to the system marketing fund. The fund is administered by Red Chili Group and used for:</w:t>
      </w:r>
    </w:p>
    <w:p>
      <w:pPr>
        <w:pStyle w:val="ListParagraph"/>
        <w:numPr>
          <w:ilvl w:val="0"/>
          <w:numId w:val="2"/>
        </w:numPr>
        <w:spacing w:after="80" w:line="280"/>
      </w:pPr>
      <w:r>
        <w:rPr>
          <w:rFonts w:ascii="Calibri" w:cs="Calibri" w:eastAsia="Calibri" w:hAnsi="Calibri"/>
          <w:sz w:val="22"/>
          <w:szCs w:val="22"/>
        </w:rPr>
        <w:t xml:space="preserve">National brand campaigns.</w:t>
      </w:r>
    </w:p>
    <w:p>
      <w:pPr>
        <w:pStyle w:val="ListParagraph"/>
        <w:numPr>
          <w:ilvl w:val="0"/>
          <w:numId w:val="2"/>
        </w:numPr>
        <w:spacing w:after="80" w:line="280"/>
      </w:pPr>
      <w:r>
        <w:rPr>
          <w:rFonts w:ascii="Calibri" w:cs="Calibri" w:eastAsia="Calibri" w:hAnsi="Calibri"/>
          <w:sz w:val="22"/>
          <w:szCs w:val="22"/>
        </w:rPr>
        <w:t xml:space="preserve">Digital infrastructure (website, app, social presence).</w:t>
      </w:r>
    </w:p>
    <w:p>
      <w:pPr>
        <w:pStyle w:val="ListParagraph"/>
        <w:numPr>
          <w:ilvl w:val="0"/>
          <w:numId w:val="2"/>
        </w:numPr>
        <w:spacing w:after="80" w:line="280"/>
      </w:pPr>
      <w:r>
        <w:rPr>
          <w:rFonts w:ascii="Calibri" w:cs="Calibri" w:eastAsia="Calibri" w:hAnsi="Calibri"/>
          <w:sz w:val="22"/>
          <w:szCs w:val="22"/>
        </w:rPr>
        <w:t xml:space="preserve">Brand-level partnerships and sponsorships.</w:t>
      </w:r>
    </w:p>
    <w:p>
      <w:pPr>
        <w:pStyle w:val="ListParagraph"/>
        <w:numPr>
          <w:ilvl w:val="0"/>
          <w:numId w:val="2"/>
        </w:numPr>
        <w:spacing w:after="80" w:line="280"/>
      </w:pPr>
      <w:r>
        <w:rPr>
          <w:rFonts w:ascii="Calibri" w:cs="Calibri" w:eastAsia="Calibri" w:hAnsi="Calibri"/>
          <w:sz w:val="22"/>
          <w:szCs w:val="22"/>
        </w:rPr>
        <w:t xml:space="preserve">PR and crisis communication capability.</w:t>
      </w:r>
    </w:p>
    <w:p>
      <w:pPr>
        <w:spacing w:after="120" w:line="300"/>
      </w:pPr>
      <w:r>
        <w:rPr>
          <w:rFonts w:ascii="Calibri" w:cs="Calibri" w:eastAsia="Calibri" w:hAnsi="Calibri"/>
          <w:sz w:val="22"/>
          <w:szCs w:val="22"/>
        </w:rPr>
        <w:t xml:space="preserve">The fund's annual report is published to franchisees with line-item disclosure.</w:t>
      </w:r>
    </w:p>
    <w:p>
      <w:r>
        <w:br w:type="page"/>
      </w:r>
    </w:p>
    <w:p>
      <w:pPr>
        <w:pStyle w:val="Heading1"/>
        <w:spacing w:after="240" w:before="480"/>
      </w:pPr>
      <w:r>
        <w:rPr>
          <w:rFonts w:ascii="Georgia" w:cs="Georgia" w:eastAsia="Georgia" w:hAnsi="Georgia"/>
          <w:b/>
          <w:bCs/>
          <w:color w:val="990011"/>
          <w:sz w:val="36"/>
          <w:szCs w:val="36"/>
        </w:rPr>
        <w:t xml:space="preserve">11. Financial Reporting &amp; Audit</w:t>
      </w:r>
    </w:p>
    <w:p>
      <w:pPr>
        <w:pStyle w:val="Heading2"/>
        <w:spacing w:after="180" w:before="360"/>
      </w:pPr>
      <w:r>
        <w:rPr>
          <w:rFonts w:ascii="Georgia" w:cs="Georgia" w:eastAsia="Georgia" w:hAnsi="Georgia"/>
          <w:b/>
          <w:bCs/>
          <w:color w:val="990011"/>
          <w:sz w:val="26"/>
          <w:szCs w:val="26"/>
        </w:rPr>
        <w:t xml:space="preserve">11.1  Royalty calculation</w:t>
      </w:r>
    </w:p>
    <w:p>
      <w:pPr>
        <w:spacing w:after="120" w:line="300"/>
      </w:pPr>
      <w:r>
        <w:rPr>
          <w:rFonts w:ascii="Calibri" w:cs="Calibri" w:eastAsia="Calibri" w:hAnsi="Calibri"/>
          <w:sz w:val="22"/>
          <w:szCs w:val="22"/>
        </w:rPr>
        <w:t xml:space="preserve">Royalty is calculated on gross revenue (excluding VAT). Royalty rates by sub-brand: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Sub-Brand</w:t>
            </w:r>
          </w:p>
        </w:tc>
        <w:tc>
          <w:tcPr>
            <w:tcW w:type="dxa" w:w="312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Royalty %</w:t>
            </w:r>
          </w:p>
        </w:tc>
        <w:tc>
          <w:tcPr>
            <w:tcW w:type="dxa" w:w="3120"/>
            <w:tcBorders>
              <w:top w:val="single" w:color="C4C4C4" w:sz="4"/>
              <w:left w:val="single" w:color="C4C4C4" w:sz="4"/>
              <w:bottom w:val="single" w:color="C4C4C4" w:sz="4"/>
              <w:right w:val="single" w:color="C4C4C4" w:sz="4"/>
            </w:tcBorders>
            <w:shd w:fill="990011" w:val="clear"/>
            <w:tcMar>
              <w:top w:type="dxa" w:w="100"/>
              <w:left w:type="dxa" w:w="140"/>
              <w:bottom w:type="dxa" w:w="100"/>
              <w:right w:type="dxa" w:w="140"/>
            </w:tcMar>
            <w:vAlign w:val="center"/>
          </w:tcPr>
          <w:p>
            <w:pPr>
              <w:jc w:val="left"/>
            </w:pPr>
            <w:r>
              <w:rPr>
                <w:rFonts w:ascii="Calibri" w:cs="Calibri" w:eastAsia="Calibri" w:hAnsi="Calibri"/>
                <w:b/>
                <w:bCs/>
                <w:color w:val="FFFFFF"/>
                <w:sz w:val="20"/>
                <w:szCs w:val="20"/>
              </w:rPr>
              <w:t xml:space="preserve">Marketing Fund</w:t>
            </w:r>
          </w:p>
        </w:tc>
      </w:tr>
      <w:tr>
        <w:tc>
          <w:tcPr>
            <w:tcW w:type="dxa" w:w="312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Family</w:t>
            </w:r>
          </w:p>
        </w:tc>
        <w:tc>
          <w:tcPr>
            <w:tcW w:type="dxa" w:w="312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center"/>
            </w:pPr>
            <w:r>
              <w:rPr>
                <w:rFonts w:ascii="Calibri" w:cs="Calibri" w:eastAsia="Calibri" w:hAnsi="Calibri"/>
                <w:sz w:val="20"/>
                <w:szCs w:val="20"/>
              </w:rPr>
              <w:t xml:space="preserve">5%</w:t>
            </w:r>
          </w:p>
        </w:tc>
        <w:tc>
          <w:tcPr>
            <w:tcW w:type="dxa" w:w="312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center"/>
            </w:pPr>
            <w:r>
              <w:rPr>
                <w:rFonts w:ascii="Calibri" w:cs="Calibri" w:eastAsia="Calibri" w:hAnsi="Calibri"/>
                <w:sz w:val="20"/>
                <w:szCs w:val="20"/>
              </w:rPr>
              <w:t xml:space="preserve">1%</w:t>
            </w:r>
          </w:p>
        </w:tc>
      </w:tr>
      <w:tr>
        <w:tc>
          <w:tcPr>
            <w:tcW w:type="dxa" w:w="312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Express</w:t>
            </w:r>
          </w:p>
        </w:tc>
        <w:tc>
          <w:tcPr>
            <w:tcW w:type="dxa" w:w="312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sz w:val="20"/>
                <w:szCs w:val="20"/>
              </w:rPr>
              <w:t xml:space="preserve">6%</w:t>
            </w:r>
          </w:p>
        </w:tc>
        <w:tc>
          <w:tcPr>
            <w:tcW w:type="dxa" w:w="312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sz w:val="20"/>
                <w:szCs w:val="20"/>
              </w:rPr>
              <w:t xml:space="preserve">1%</w:t>
            </w:r>
          </w:p>
        </w:tc>
      </w:tr>
      <w:tr>
        <w:tc>
          <w:tcPr>
            <w:tcW w:type="dxa" w:w="312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left"/>
            </w:pPr>
            <w:r>
              <w:rPr>
                <w:rFonts w:ascii="Calibri" w:cs="Calibri" w:eastAsia="Calibri" w:hAnsi="Calibri"/>
                <w:sz w:val="20"/>
                <w:szCs w:val="20"/>
              </w:rPr>
              <w:t xml:space="preserve">Snack Corner</w:t>
            </w:r>
          </w:p>
        </w:tc>
        <w:tc>
          <w:tcPr>
            <w:tcW w:type="dxa" w:w="312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center"/>
            </w:pPr>
            <w:r>
              <w:rPr>
                <w:rFonts w:ascii="Calibri" w:cs="Calibri" w:eastAsia="Calibri" w:hAnsi="Calibri"/>
                <w:sz w:val="20"/>
                <w:szCs w:val="20"/>
              </w:rPr>
              <w:t xml:space="preserve">7%</w:t>
            </w:r>
          </w:p>
        </w:tc>
        <w:tc>
          <w:tcPr>
            <w:tcW w:type="dxa" w:w="3120"/>
            <w:tcBorders>
              <w:top w:val="single" w:color="C4C4C4" w:sz="4"/>
              <w:left w:val="single" w:color="C4C4C4" w:sz="4"/>
              <w:bottom w:val="single" w:color="C4C4C4" w:sz="4"/>
              <w:right w:val="single" w:color="C4C4C4" w:sz="4"/>
            </w:tcBorders>
            <w:tcMar>
              <w:top w:type="dxa" w:w="100"/>
              <w:left w:type="dxa" w:w="140"/>
              <w:bottom w:type="dxa" w:w="100"/>
              <w:right w:type="dxa" w:w="140"/>
            </w:tcMar>
            <w:vAlign w:val="center"/>
          </w:tcPr>
          <w:p>
            <w:pPr>
              <w:jc w:val="center"/>
            </w:pPr>
            <w:r>
              <w:rPr>
                <w:rFonts w:ascii="Calibri" w:cs="Calibri" w:eastAsia="Calibri" w:hAnsi="Calibri"/>
                <w:sz w:val="20"/>
                <w:szCs w:val="20"/>
              </w:rPr>
              <w:t xml:space="preserve">1%</w:t>
            </w:r>
          </w:p>
        </w:tc>
      </w:tr>
      <w:tr>
        <w:tc>
          <w:tcPr>
            <w:tcW w:type="dxa" w:w="312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left"/>
            </w:pPr>
            <w:r>
              <w:rPr>
                <w:rFonts w:ascii="Calibri" w:cs="Calibri" w:eastAsia="Calibri" w:hAnsi="Calibri"/>
                <w:sz w:val="20"/>
                <w:szCs w:val="20"/>
              </w:rPr>
              <w:t xml:space="preserve">Tea Stall</w:t>
            </w:r>
          </w:p>
        </w:tc>
        <w:tc>
          <w:tcPr>
            <w:tcW w:type="dxa" w:w="312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sz w:val="20"/>
                <w:szCs w:val="20"/>
              </w:rPr>
              <w:t xml:space="preserve">8%</w:t>
            </w:r>
          </w:p>
        </w:tc>
        <w:tc>
          <w:tcPr>
            <w:tcW w:type="dxa" w:w="3120"/>
            <w:tcBorders>
              <w:top w:val="single" w:color="C4C4C4" w:sz="4"/>
              <w:left w:val="single" w:color="C4C4C4" w:sz="4"/>
              <w:bottom w:val="single" w:color="C4C4C4" w:sz="4"/>
              <w:right w:val="single" w:color="C4C4C4" w:sz="4"/>
            </w:tcBorders>
            <w:shd w:fill="FCF6F5" w:val="clear"/>
            <w:tcMar>
              <w:top w:type="dxa" w:w="100"/>
              <w:left w:type="dxa" w:w="140"/>
              <w:bottom w:type="dxa" w:w="100"/>
              <w:right w:type="dxa" w:w="140"/>
            </w:tcMar>
            <w:vAlign w:val="center"/>
          </w:tcPr>
          <w:p>
            <w:pPr>
              <w:jc w:val="center"/>
            </w:pPr>
            <w:r>
              <w:rPr>
                <w:rFonts w:ascii="Calibri" w:cs="Calibri" w:eastAsia="Calibri" w:hAnsi="Calibri"/>
                <w:sz w:val="20"/>
                <w:szCs w:val="20"/>
              </w:rPr>
              <w:t xml:space="preserve">1%</w:t>
            </w:r>
          </w:p>
        </w:tc>
      </w:tr>
    </w:tbl>
    <w:p>
      <w:pPr>
        <w:spacing w:after="180" w:before="180"/>
      </w:pPr>
      <w:r>
        <w:t xml:space="preserve"/>
      </w:r>
    </w:p>
    <w:p>
      <w:pPr>
        <w:pStyle w:val="Heading2"/>
        <w:spacing w:after="180" w:before="360"/>
      </w:pPr>
      <w:r>
        <w:rPr>
          <w:rFonts w:ascii="Georgia" w:cs="Georgia" w:eastAsia="Georgia" w:hAnsi="Georgia"/>
          <w:b/>
          <w:bCs/>
          <w:color w:val="990011"/>
          <w:sz w:val="26"/>
          <w:szCs w:val="26"/>
        </w:rPr>
        <w:t xml:space="preserve">11.2  Payment schedule</w:t>
      </w:r>
    </w:p>
    <w:p>
      <w:pPr>
        <w:spacing w:after="120" w:line="300"/>
      </w:pPr>
      <w:r>
        <w:rPr>
          <w:rFonts w:ascii="Calibri" w:cs="Calibri" w:eastAsia="Calibri" w:hAnsi="Calibri"/>
          <w:sz w:val="22"/>
          <w:szCs w:val="22"/>
        </w:rPr>
        <w:t xml:space="preserve">Royalty and marketing fund are debited monthly via direct debit from the franchisee's nominated bank account, within 7 days of month-end. Calculation is automated from POS data.</w:t>
      </w:r>
    </w:p>
    <w:p>
      <w:pPr>
        <w:pStyle w:val="Heading2"/>
        <w:spacing w:after="180" w:before="360"/>
      </w:pPr>
      <w:r>
        <w:rPr>
          <w:rFonts w:ascii="Georgia" w:cs="Georgia" w:eastAsia="Georgia" w:hAnsi="Georgia"/>
          <w:b/>
          <w:bCs/>
          <w:color w:val="990011"/>
          <w:sz w:val="26"/>
          <w:szCs w:val="26"/>
        </w:rPr>
        <w:t xml:space="preserve">11.3  Books and audit rights</w:t>
      </w:r>
    </w:p>
    <w:p>
      <w:pPr>
        <w:spacing w:after="120" w:line="300"/>
      </w:pPr>
      <w:r>
        <w:rPr>
          <w:rFonts w:ascii="Calibri" w:cs="Calibri" w:eastAsia="Calibri" w:hAnsi="Calibri"/>
          <w:sz w:val="22"/>
          <w:szCs w:val="22"/>
        </w:rPr>
        <w:t xml:space="preserve">Franchisees must maintain audited annual financial statements per local accounting standards. Red Chili Group reserves the right to audit any unit at its expense, with 14 days' notice. Audit findings of revenue under-reporting result in:</w:t>
      </w:r>
    </w:p>
    <w:p>
      <w:pPr>
        <w:pStyle w:val="ListParagraph"/>
        <w:numPr>
          <w:ilvl w:val="0"/>
          <w:numId w:val="2"/>
        </w:numPr>
        <w:spacing w:after="80" w:line="280"/>
      </w:pPr>
      <w:r>
        <w:rPr>
          <w:rFonts w:ascii="Calibri" w:cs="Calibri" w:eastAsia="Calibri" w:hAnsi="Calibri"/>
          <w:sz w:val="22"/>
          <w:szCs w:val="22"/>
        </w:rPr>
        <w:t xml:space="preserve">Immediate payment of underpaid royalty + 10% penalty.</w:t>
      </w:r>
    </w:p>
    <w:p>
      <w:pPr>
        <w:pStyle w:val="ListParagraph"/>
        <w:numPr>
          <w:ilvl w:val="0"/>
          <w:numId w:val="2"/>
        </w:numPr>
        <w:spacing w:after="80" w:line="280"/>
      </w:pPr>
      <w:r>
        <w:rPr>
          <w:rFonts w:ascii="Calibri" w:cs="Calibri" w:eastAsia="Calibri" w:hAnsi="Calibri"/>
          <w:sz w:val="22"/>
          <w:szCs w:val="22"/>
        </w:rPr>
        <w:t xml:space="preserve">Audit costs charged to franchisee.</w:t>
      </w:r>
    </w:p>
    <w:p>
      <w:pPr>
        <w:pStyle w:val="ListParagraph"/>
        <w:numPr>
          <w:ilvl w:val="0"/>
          <w:numId w:val="2"/>
        </w:numPr>
        <w:spacing w:after="80" w:line="280"/>
      </w:pPr>
      <w:r>
        <w:rPr>
          <w:rFonts w:ascii="Calibri" w:cs="Calibri" w:eastAsia="Calibri" w:hAnsi="Calibri"/>
          <w:sz w:val="22"/>
          <w:szCs w:val="22"/>
        </w:rPr>
        <w:t xml:space="preserve">Repeat under-reporting (&gt;2 instances) is grounds for termination.</w:t>
      </w:r>
    </w:p>
    <w:p>
      <w:r>
        <w:br w:type="page"/>
      </w:r>
    </w:p>
    <w:p>
      <w:pPr>
        <w:pStyle w:val="Heading1"/>
        <w:spacing w:after="240" w:before="480"/>
      </w:pPr>
      <w:r>
        <w:rPr>
          <w:rFonts w:ascii="Georgia" w:cs="Georgia" w:eastAsia="Georgia" w:hAnsi="Georgia"/>
          <w:b/>
          <w:bCs/>
          <w:color w:val="990011"/>
          <w:sz w:val="36"/>
          <w:szCs w:val="36"/>
        </w:rPr>
        <w:t xml:space="preserve">12. Compliance &amp; Legal</w:t>
      </w:r>
    </w:p>
    <w:p>
      <w:pPr>
        <w:pStyle w:val="Heading2"/>
        <w:spacing w:after="180" w:before="360"/>
      </w:pPr>
      <w:r>
        <w:rPr>
          <w:rFonts w:ascii="Georgia" w:cs="Georgia" w:eastAsia="Georgia" w:hAnsi="Georgia"/>
          <w:b/>
          <w:bCs/>
          <w:color w:val="990011"/>
          <w:sz w:val="26"/>
          <w:szCs w:val="26"/>
        </w:rPr>
        <w:t xml:space="preserve">12.1  Country-specific compliance</w:t>
      </w:r>
    </w:p>
    <w:p>
      <w:pPr>
        <w:spacing w:after="120" w:line="300"/>
      </w:pPr>
      <w:r>
        <w:rPr>
          <w:rFonts w:ascii="Calibri" w:cs="Calibri" w:eastAsia="Calibri" w:hAnsi="Calibri"/>
          <w:sz w:val="22"/>
          <w:szCs w:val="22"/>
        </w:rPr>
        <w:t xml:space="preserve">Franchisees are responsible for full compliance with all applicable laws in their territory, including but not limited to: food safety, health regulations, employment law, tax (VAT, corporate, withholding), trade licensing, and Saudization (where applicable).</w:t>
      </w:r>
    </w:p>
    <w:p>
      <w:pPr>
        <w:spacing w:after="120" w:line="300"/>
      </w:pPr>
      <w:r>
        <w:rPr>
          <w:rFonts w:ascii="Calibri" w:cs="Calibri" w:eastAsia="Calibri" w:hAnsi="Calibri"/>
          <w:sz w:val="22"/>
          <w:szCs w:val="22"/>
        </w:rPr>
        <w:t xml:space="preserve">Red Chili Group provides general guidance but is not the franchisee's legal or tax advisor. Each franchisee must engage local counsel.</w:t>
      </w:r>
    </w:p>
    <w:p>
      <w:pPr>
        <w:pStyle w:val="Heading2"/>
        <w:spacing w:after="180" w:before="360"/>
      </w:pPr>
      <w:r>
        <w:rPr>
          <w:rFonts w:ascii="Georgia" w:cs="Georgia" w:eastAsia="Georgia" w:hAnsi="Georgia"/>
          <w:b/>
          <w:bCs/>
          <w:color w:val="990011"/>
          <w:sz w:val="26"/>
          <w:szCs w:val="26"/>
        </w:rPr>
        <w:t xml:space="preserve">12.2  Insurance requirements</w:t>
      </w:r>
    </w:p>
    <w:p>
      <w:pPr>
        <w:pStyle w:val="ListParagraph"/>
        <w:numPr>
          <w:ilvl w:val="0"/>
          <w:numId w:val="2"/>
        </w:numPr>
        <w:spacing w:after="80" w:line="280"/>
      </w:pPr>
      <w:r>
        <w:rPr>
          <w:rFonts w:ascii="Calibri" w:cs="Calibri" w:eastAsia="Calibri" w:hAnsi="Calibri"/>
          <w:sz w:val="22"/>
          <w:szCs w:val="22"/>
        </w:rPr>
        <w:t xml:space="preserve">Public liability: minimum SAR 5M (or local-currency equivalent).</w:t>
      </w:r>
    </w:p>
    <w:p>
      <w:pPr>
        <w:pStyle w:val="ListParagraph"/>
        <w:numPr>
          <w:ilvl w:val="0"/>
          <w:numId w:val="2"/>
        </w:numPr>
        <w:spacing w:after="80" w:line="280"/>
      </w:pPr>
      <w:r>
        <w:rPr>
          <w:rFonts w:ascii="Calibri" w:cs="Calibri" w:eastAsia="Calibri" w:hAnsi="Calibri"/>
          <w:sz w:val="22"/>
          <w:szCs w:val="22"/>
        </w:rPr>
        <w:t xml:space="preserve">Product liability: minimum SAR 3M.</w:t>
      </w:r>
    </w:p>
    <w:p>
      <w:pPr>
        <w:pStyle w:val="ListParagraph"/>
        <w:numPr>
          <w:ilvl w:val="0"/>
          <w:numId w:val="2"/>
        </w:numPr>
        <w:spacing w:after="80" w:line="280"/>
      </w:pPr>
      <w:r>
        <w:rPr>
          <w:rFonts w:ascii="Calibri" w:cs="Calibri" w:eastAsia="Calibri" w:hAnsi="Calibri"/>
          <w:sz w:val="22"/>
          <w:szCs w:val="22"/>
        </w:rPr>
        <w:t xml:space="preserve">Property and contents: full replacement value.</w:t>
      </w:r>
    </w:p>
    <w:p>
      <w:pPr>
        <w:pStyle w:val="ListParagraph"/>
        <w:numPr>
          <w:ilvl w:val="0"/>
          <w:numId w:val="2"/>
        </w:numPr>
        <w:spacing w:after="80" w:line="280"/>
      </w:pPr>
      <w:r>
        <w:rPr>
          <w:rFonts w:ascii="Calibri" w:cs="Calibri" w:eastAsia="Calibri" w:hAnsi="Calibri"/>
          <w:sz w:val="22"/>
          <w:szCs w:val="22"/>
        </w:rPr>
        <w:t xml:space="preserve">Workers' compensation: per local statutory requirement.</w:t>
      </w:r>
    </w:p>
    <w:p>
      <w:pPr>
        <w:spacing w:after="120" w:line="300"/>
      </w:pPr>
      <w:r>
        <w:rPr>
          <w:rFonts w:ascii="Calibri" w:cs="Calibri" w:eastAsia="Calibri" w:hAnsi="Calibri"/>
          <w:sz w:val="22"/>
          <w:szCs w:val="22"/>
        </w:rPr>
        <w:t xml:space="preserve">Red Chili Group must be named as additional insured on public and product liability policies.</w:t>
      </w:r>
    </w:p>
    <w:p>
      <w:pPr>
        <w:pStyle w:val="Heading2"/>
        <w:spacing w:after="180" w:before="360"/>
      </w:pPr>
      <w:r>
        <w:rPr>
          <w:rFonts w:ascii="Georgia" w:cs="Georgia" w:eastAsia="Georgia" w:hAnsi="Georgia"/>
          <w:b/>
          <w:bCs/>
          <w:color w:val="990011"/>
          <w:sz w:val="26"/>
          <w:szCs w:val="26"/>
        </w:rPr>
        <w:t xml:space="preserve">12.3  Data protection</w:t>
      </w:r>
    </w:p>
    <w:p>
      <w:pPr>
        <w:spacing w:after="120" w:line="300"/>
      </w:pPr>
      <w:r>
        <w:rPr>
          <w:rFonts w:ascii="Calibri" w:cs="Calibri" w:eastAsia="Calibri" w:hAnsi="Calibri"/>
          <w:sz w:val="22"/>
          <w:szCs w:val="22"/>
        </w:rPr>
        <w:t xml:space="preserve">Franchisees handle customer data through the ERP only. Data export, sharing with third parties, or use for marketing outside the system is prohibited. Compliance with KSA Personal Data Protection Law (or local equivalent) is the franchisee's responsibility, supported by the platform's compliance features.</w:t>
      </w:r>
    </w:p>
    <w:p>
      <w:r>
        <w:br w:type="page"/>
      </w:r>
    </w:p>
    <w:p>
      <w:pPr>
        <w:pStyle w:val="Heading1"/>
        <w:spacing w:after="240" w:before="480"/>
      </w:pPr>
      <w:r>
        <w:rPr>
          <w:rFonts w:ascii="Georgia" w:cs="Georgia" w:eastAsia="Georgia" w:hAnsi="Georgia"/>
          <w:b/>
          <w:bCs/>
          <w:color w:val="990011"/>
          <w:sz w:val="36"/>
          <w:szCs w:val="36"/>
        </w:rPr>
        <w:t xml:space="preserve">13. Breach &amp; Termination</w:t>
      </w:r>
    </w:p>
    <w:p>
      <w:pPr>
        <w:pStyle w:val="Heading2"/>
        <w:spacing w:after="180" w:before="360"/>
      </w:pPr>
      <w:r>
        <w:rPr>
          <w:rFonts w:ascii="Georgia" w:cs="Georgia" w:eastAsia="Georgia" w:hAnsi="Georgia"/>
          <w:b/>
          <w:bCs/>
          <w:color w:val="990011"/>
          <w:sz w:val="26"/>
          <w:szCs w:val="26"/>
        </w:rPr>
        <w:t xml:space="preserve">13.1  Categories of breach</w:t>
      </w:r>
    </w:p>
    <w:p>
      <w:pPr>
        <w:spacing w:after="120" w:line="300"/>
      </w:pPr>
      <w:r>
        <w:rPr>
          <w:rFonts w:ascii="Calibri" w:cs="Calibri" w:eastAsia="Calibri" w:hAnsi="Calibri"/>
          <w:sz w:val="22"/>
          <w:szCs w:val="22"/>
        </w:rPr>
        <w:t xml:space="preserve">Franchise agreement breaches are classified as:</w:t>
      </w:r>
    </w:p>
    <w:p>
      <w:pPr>
        <w:pStyle w:val="ListParagraph"/>
        <w:numPr>
          <w:ilvl w:val="0"/>
          <w:numId w:val="2"/>
        </w:numPr>
        <w:spacing w:after="80" w:line="280"/>
      </w:pPr>
      <w:r>
        <w:rPr>
          <w:rFonts w:ascii="Calibri" w:cs="Calibri" w:eastAsia="Calibri" w:hAnsi="Calibri"/>
          <w:sz w:val="22"/>
          <w:szCs w:val="22"/>
        </w:rPr>
        <w:t xml:space="preserve">MINOR — Notice issued, 30 days to cure. No financial penalty unless repeated.</w:t>
      </w:r>
    </w:p>
    <w:p>
      <w:pPr>
        <w:pStyle w:val="ListParagraph"/>
        <w:numPr>
          <w:ilvl w:val="0"/>
          <w:numId w:val="2"/>
        </w:numPr>
        <w:spacing w:after="80" w:line="280"/>
      </w:pPr>
      <w:r>
        <w:rPr>
          <w:rFonts w:ascii="Calibri" w:cs="Calibri" w:eastAsia="Calibri" w:hAnsi="Calibri"/>
          <w:sz w:val="22"/>
          <w:szCs w:val="22"/>
        </w:rPr>
        <w:t xml:space="preserve">MAJOR — Notice issued, 14 days to cure. Financial penalty up to SAR 50K. Repeat triggers termination.</w:t>
      </w:r>
    </w:p>
    <w:p>
      <w:pPr>
        <w:pStyle w:val="ListParagraph"/>
        <w:numPr>
          <w:ilvl w:val="0"/>
          <w:numId w:val="2"/>
        </w:numPr>
        <w:spacing w:after="80" w:line="280"/>
      </w:pPr>
      <w:r>
        <w:rPr>
          <w:rFonts w:ascii="Calibri" w:cs="Calibri" w:eastAsia="Calibri" w:hAnsi="Calibri"/>
          <w:sz w:val="22"/>
          <w:szCs w:val="22"/>
        </w:rPr>
        <w:t xml:space="preserve">CRITICAL — Immediate operational suspension. Termination if not cured within 7 days. Permanent termination if cure is impossible (e.g., repeat food-safety failure).</w:t>
      </w:r>
    </w:p>
    <w:p>
      <w:pPr>
        <w:pStyle w:val="Heading2"/>
        <w:spacing w:after="180" w:before="360"/>
      </w:pPr>
      <w:r>
        <w:rPr>
          <w:rFonts w:ascii="Georgia" w:cs="Georgia" w:eastAsia="Georgia" w:hAnsi="Georgia"/>
          <w:b/>
          <w:bCs/>
          <w:color w:val="990011"/>
          <w:sz w:val="26"/>
          <w:szCs w:val="26"/>
        </w:rPr>
        <w:t xml:space="preserve">13.2  Examples by category</w:t>
      </w:r>
    </w:p>
    <w:p>
      <w:pPr>
        <w:spacing w:after="120" w:line="300"/>
      </w:pPr>
      <w:r>
        <w:rPr>
          <w:rFonts w:ascii="Calibri" w:cs="Calibri" w:eastAsia="Calibri" w:hAnsi="Calibri"/>
          <w:sz w:val="22"/>
          <w:szCs w:val="22"/>
        </w:rPr>
        <w:t xml:space="preserve">MINOR: Late royalty payment, minor menu item out of stock for &gt;7 days, uniform deviations, minor signage damage.</w:t>
      </w:r>
    </w:p>
    <w:p>
      <w:pPr>
        <w:spacing w:after="120" w:line="300"/>
      </w:pPr>
      <w:r>
        <w:rPr>
          <w:rFonts w:ascii="Calibri" w:cs="Calibri" w:eastAsia="Calibri" w:hAnsi="Calibri"/>
          <w:sz w:val="22"/>
          <w:szCs w:val="22"/>
        </w:rPr>
        <w:t xml:space="preserve">MAJOR: Recipe substitution, off-ASL purchasing, marketing without approval, audit findings of &lt; SAR 50K under-reporting.</w:t>
      </w:r>
    </w:p>
    <w:p>
      <w:pPr>
        <w:spacing w:after="120" w:line="300"/>
      </w:pPr>
      <w:r>
        <w:rPr>
          <w:rFonts w:ascii="Calibri" w:cs="Calibri" w:eastAsia="Calibri" w:hAnsi="Calibri"/>
          <w:sz w:val="22"/>
          <w:szCs w:val="22"/>
        </w:rPr>
        <w:t xml:space="preserve">CRITICAL: Food safety failure with customer harm, non-halal ingredient detected, audit findings &gt; SAR 100K under-reporting, fraudulent reporting, brand defamation.</w:t>
      </w:r>
    </w:p>
    <w:p>
      <w:pPr>
        <w:pStyle w:val="Heading2"/>
        <w:spacing w:after="180" w:before="360"/>
      </w:pPr>
      <w:r>
        <w:rPr>
          <w:rFonts w:ascii="Georgia" w:cs="Georgia" w:eastAsia="Georgia" w:hAnsi="Georgia"/>
          <w:b/>
          <w:bCs/>
          <w:color w:val="990011"/>
          <w:sz w:val="26"/>
          <w:szCs w:val="26"/>
        </w:rPr>
        <w:t xml:space="preserve">13.3  Termination consequences</w:t>
      </w:r>
    </w:p>
    <w:p>
      <w:pPr>
        <w:pStyle w:val="ListParagraph"/>
        <w:numPr>
          <w:ilvl w:val="0"/>
          <w:numId w:val="2"/>
        </w:numPr>
        <w:spacing w:after="80" w:line="280"/>
      </w:pPr>
      <w:r>
        <w:rPr>
          <w:rFonts w:ascii="Calibri" w:cs="Calibri" w:eastAsia="Calibri" w:hAnsi="Calibri"/>
          <w:sz w:val="22"/>
          <w:szCs w:val="22"/>
        </w:rPr>
        <w:t xml:space="preserve">Immediate cessation of all use of the Red Chili name, logo, and any associated IP.</w:t>
      </w:r>
    </w:p>
    <w:p>
      <w:pPr>
        <w:pStyle w:val="ListParagraph"/>
        <w:numPr>
          <w:ilvl w:val="0"/>
          <w:numId w:val="2"/>
        </w:numPr>
        <w:spacing w:after="80" w:line="280"/>
      </w:pPr>
      <w:r>
        <w:rPr>
          <w:rFonts w:ascii="Calibri" w:cs="Calibri" w:eastAsia="Calibri" w:hAnsi="Calibri"/>
          <w:sz w:val="22"/>
          <w:szCs w:val="22"/>
        </w:rPr>
        <w:t xml:space="preserve">Removal of all signage at franchisee's cost within 14 days.</w:t>
      </w:r>
    </w:p>
    <w:p>
      <w:pPr>
        <w:pStyle w:val="ListParagraph"/>
        <w:numPr>
          <w:ilvl w:val="0"/>
          <w:numId w:val="2"/>
        </w:numPr>
        <w:spacing w:after="80" w:line="280"/>
      </w:pPr>
      <w:r>
        <w:rPr>
          <w:rFonts w:ascii="Calibri" w:cs="Calibri" w:eastAsia="Calibri" w:hAnsi="Calibri"/>
          <w:sz w:val="22"/>
          <w:szCs w:val="22"/>
        </w:rPr>
        <w:t xml:space="preserve">Settlement of all outstanding royalty and marketing fund payments.</w:t>
      </w:r>
    </w:p>
    <w:p>
      <w:pPr>
        <w:pStyle w:val="ListParagraph"/>
        <w:numPr>
          <w:ilvl w:val="0"/>
          <w:numId w:val="2"/>
        </w:numPr>
        <w:spacing w:after="80" w:line="280"/>
      </w:pPr>
      <w:r>
        <w:rPr>
          <w:rFonts w:ascii="Calibri" w:cs="Calibri" w:eastAsia="Calibri" w:hAnsi="Calibri"/>
          <w:sz w:val="22"/>
          <w:szCs w:val="22"/>
        </w:rPr>
        <w:t xml:space="preserve">Return of all confidential materials, including this manual.</w:t>
      </w:r>
    </w:p>
    <w:p>
      <w:pPr>
        <w:pStyle w:val="ListParagraph"/>
        <w:numPr>
          <w:ilvl w:val="0"/>
          <w:numId w:val="2"/>
        </w:numPr>
        <w:spacing w:after="80" w:line="280"/>
      </w:pPr>
      <w:r>
        <w:rPr>
          <w:rFonts w:ascii="Calibri" w:cs="Calibri" w:eastAsia="Calibri" w:hAnsi="Calibri"/>
          <w:sz w:val="22"/>
          <w:szCs w:val="22"/>
        </w:rPr>
        <w:t xml:space="preserve">Non-compete radius and duration as specified in the franchise agreement.</w:t>
      </w:r>
    </w:p>
    <w:p>
      <w:r>
        <w:br w:type="page"/>
      </w:r>
    </w:p>
    <w:p>
      <w:pPr>
        <w:pStyle w:val="Heading1"/>
        <w:spacing w:after="240" w:before="480"/>
      </w:pPr>
      <w:r>
        <w:rPr>
          <w:rFonts w:ascii="Georgia" w:cs="Georgia" w:eastAsia="Georgia" w:hAnsi="Georgia"/>
          <w:b/>
          <w:bCs/>
          <w:color w:val="990011"/>
          <w:sz w:val="36"/>
          <w:szCs w:val="36"/>
        </w:rPr>
        <w:t xml:space="preserve">14. Appendices</w:t>
      </w:r>
    </w:p>
    <w:p>
      <w:pPr>
        <w:spacing w:after="120" w:line="300"/>
      </w:pPr>
      <w:r>
        <w:rPr>
          <w:rFonts w:ascii="Calibri" w:cs="Calibri" w:eastAsia="Calibri" w:hAnsi="Calibri"/>
          <w:sz w:val="22"/>
          <w:szCs w:val="22"/>
        </w:rPr>
        <w:t xml:space="preserve">The following appendices are issued separately as controlled documents in the Franchise ERP. They are updated more frequently than this manual and represent the operational detail behind the standards described above.</w:t>
      </w:r>
    </w:p>
    <w:p>
      <w:pPr>
        <w:tabs>
          <w:tab w:val="left" w:pos="1440"/>
        </w:tabs>
        <w:spacing w:after="100"/>
      </w:pPr>
      <w:r>
        <w:rPr>
          <w:rFonts w:ascii="Calibri" w:cs="Calibri" w:eastAsia="Calibri" w:hAnsi="Calibri"/>
          <w:b/>
          <w:bCs/>
          <w:color w:val="990011"/>
          <w:sz w:val="22"/>
          <w:szCs w:val="22"/>
        </w:rPr>
        <w:t xml:space="preserve">Appendix A	</w:t>
      </w:r>
      <w:r>
        <w:rPr>
          <w:rFonts w:ascii="Calibri" w:cs="Calibri" w:eastAsia="Calibri" w:hAnsi="Calibri"/>
          <w:sz w:val="22"/>
          <w:szCs w:val="22"/>
        </w:rPr>
        <w:t xml:space="preserve">Site Submission Form &amp; Evaluation Criteria</w:t>
      </w:r>
    </w:p>
    <w:p>
      <w:pPr>
        <w:tabs>
          <w:tab w:val="left" w:pos="1440"/>
        </w:tabs>
        <w:spacing w:after="100"/>
      </w:pPr>
      <w:r>
        <w:rPr>
          <w:rFonts w:ascii="Calibri" w:cs="Calibri" w:eastAsia="Calibri" w:hAnsi="Calibri"/>
          <w:b/>
          <w:bCs/>
          <w:color w:val="990011"/>
          <w:sz w:val="22"/>
          <w:szCs w:val="22"/>
        </w:rPr>
        <w:t xml:space="preserve">Appendix B	</w:t>
      </w:r>
      <w:r>
        <w:rPr>
          <w:rFonts w:ascii="Calibri" w:cs="Calibri" w:eastAsia="Calibri" w:hAnsi="Calibri"/>
          <w:sz w:val="22"/>
          <w:szCs w:val="22"/>
        </w:rPr>
        <w:t xml:space="preserve">Approved Kitchen Equipment List</w:t>
      </w:r>
    </w:p>
    <w:p>
      <w:pPr>
        <w:tabs>
          <w:tab w:val="left" w:pos="1440"/>
        </w:tabs>
        <w:spacing w:after="100"/>
      </w:pPr>
      <w:r>
        <w:rPr>
          <w:rFonts w:ascii="Calibri" w:cs="Calibri" w:eastAsia="Calibri" w:hAnsi="Calibri"/>
          <w:b/>
          <w:bCs/>
          <w:color w:val="990011"/>
          <w:sz w:val="22"/>
          <w:szCs w:val="22"/>
        </w:rPr>
        <w:t xml:space="preserve">Appendix C	</w:t>
      </w:r>
      <w:r>
        <w:rPr>
          <w:rFonts w:ascii="Calibri" w:cs="Calibri" w:eastAsia="Calibri" w:hAnsi="Calibri"/>
          <w:sz w:val="22"/>
          <w:szCs w:val="22"/>
        </w:rPr>
        <w:t xml:space="preserve">Hiring Criteria &amp; Interview Templates</w:t>
      </w:r>
    </w:p>
    <w:p>
      <w:pPr>
        <w:tabs>
          <w:tab w:val="left" w:pos="1440"/>
        </w:tabs>
        <w:spacing w:after="100"/>
      </w:pPr>
      <w:r>
        <w:rPr>
          <w:rFonts w:ascii="Calibri" w:cs="Calibri" w:eastAsia="Calibri" w:hAnsi="Calibri"/>
          <w:b/>
          <w:bCs/>
          <w:color w:val="990011"/>
          <w:sz w:val="22"/>
          <w:szCs w:val="22"/>
        </w:rPr>
        <w:t xml:space="preserve">Appendix D	</w:t>
      </w:r>
      <w:r>
        <w:rPr>
          <w:rFonts w:ascii="Calibri" w:cs="Calibri" w:eastAsia="Calibri" w:hAnsi="Calibri"/>
          <w:sz w:val="22"/>
          <w:szCs w:val="22"/>
        </w:rPr>
        <w:t xml:space="preserve">Uniform &amp; Personal Presentation Standards</w:t>
      </w:r>
    </w:p>
    <w:p>
      <w:pPr>
        <w:tabs>
          <w:tab w:val="left" w:pos="1440"/>
        </w:tabs>
        <w:spacing w:after="100"/>
      </w:pPr>
      <w:r>
        <w:rPr>
          <w:rFonts w:ascii="Calibri" w:cs="Calibri" w:eastAsia="Calibri" w:hAnsi="Calibri"/>
          <w:b/>
          <w:bCs/>
          <w:color w:val="990011"/>
          <w:sz w:val="22"/>
          <w:szCs w:val="22"/>
        </w:rPr>
        <w:t xml:space="preserve">Appendix E	</w:t>
      </w:r>
      <w:r>
        <w:rPr>
          <w:rFonts w:ascii="Calibri" w:cs="Calibri" w:eastAsia="Calibri" w:hAnsi="Calibri"/>
          <w:sz w:val="22"/>
          <w:szCs w:val="22"/>
        </w:rPr>
        <w:t xml:space="preserve">Recipe Specifications (sub-brand specific, ERP only)</w:t>
      </w:r>
    </w:p>
    <w:p>
      <w:pPr>
        <w:tabs>
          <w:tab w:val="left" w:pos="1440"/>
        </w:tabs>
        <w:spacing w:after="100"/>
      </w:pPr>
      <w:r>
        <w:rPr>
          <w:rFonts w:ascii="Calibri" w:cs="Calibri" w:eastAsia="Calibri" w:hAnsi="Calibri"/>
          <w:b/>
          <w:bCs/>
          <w:color w:val="990011"/>
          <w:sz w:val="22"/>
          <w:szCs w:val="22"/>
        </w:rPr>
        <w:t xml:space="preserve">Appendix F	</w:t>
      </w:r>
      <w:r>
        <w:rPr>
          <w:rFonts w:ascii="Calibri" w:cs="Calibri" w:eastAsia="Calibri" w:hAnsi="Calibri"/>
          <w:sz w:val="22"/>
          <w:szCs w:val="22"/>
        </w:rPr>
        <w:t xml:space="preserve">Operational Audit Checklist</w:t>
      </w:r>
    </w:p>
    <w:p>
      <w:pPr>
        <w:tabs>
          <w:tab w:val="left" w:pos="1440"/>
        </w:tabs>
        <w:spacing w:after="100"/>
      </w:pPr>
      <w:r>
        <w:rPr>
          <w:rFonts w:ascii="Calibri" w:cs="Calibri" w:eastAsia="Calibri" w:hAnsi="Calibri"/>
          <w:b/>
          <w:bCs/>
          <w:color w:val="990011"/>
          <w:sz w:val="22"/>
          <w:szCs w:val="22"/>
        </w:rPr>
        <w:t xml:space="preserve">Appendix G	</w:t>
      </w:r>
      <w:r>
        <w:rPr>
          <w:rFonts w:ascii="Calibri" w:cs="Calibri" w:eastAsia="Calibri" w:hAnsi="Calibri"/>
          <w:sz w:val="22"/>
          <w:szCs w:val="22"/>
        </w:rPr>
        <w:t xml:space="preserve">Approved Marketing Asset Library (ERP only)</w:t>
      </w:r>
    </w:p>
    <w:p>
      <w:pPr>
        <w:tabs>
          <w:tab w:val="left" w:pos="1440"/>
        </w:tabs>
        <w:spacing w:after="100"/>
      </w:pPr>
      <w:r>
        <w:rPr>
          <w:rFonts w:ascii="Calibri" w:cs="Calibri" w:eastAsia="Calibri" w:hAnsi="Calibri"/>
          <w:b/>
          <w:bCs/>
          <w:color w:val="990011"/>
          <w:sz w:val="22"/>
          <w:szCs w:val="22"/>
        </w:rPr>
        <w:t xml:space="preserve">Appendix H	</w:t>
      </w:r>
      <w:r>
        <w:rPr>
          <w:rFonts w:ascii="Calibri" w:cs="Calibri" w:eastAsia="Calibri" w:hAnsi="Calibri"/>
          <w:sz w:val="22"/>
          <w:szCs w:val="22"/>
        </w:rPr>
        <w:t xml:space="preserve">Crisis Communication Protocol</w:t>
      </w:r>
    </w:p>
    <w:p>
      <w:pPr>
        <w:tabs>
          <w:tab w:val="left" w:pos="1440"/>
        </w:tabs>
        <w:spacing w:after="100"/>
      </w:pPr>
      <w:r>
        <w:rPr>
          <w:rFonts w:ascii="Calibri" w:cs="Calibri" w:eastAsia="Calibri" w:hAnsi="Calibri"/>
          <w:b/>
          <w:bCs/>
          <w:color w:val="990011"/>
          <w:sz w:val="22"/>
          <w:szCs w:val="22"/>
        </w:rPr>
        <w:t xml:space="preserve">Appendix I	</w:t>
      </w:r>
      <w:r>
        <w:rPr>
          <w:rFonts w:ascii="Calibri" w:cs="Calibri" w:eastAsia="Calibri" w:hAnsi="Calibri"/>
          <w:sz w:val="22"/>
          <w:szCs w:val="22"/>
        </w:rPr>
        <w:t xml:space="preserve">Franchise ERP User Guide</w:t>
      </w:r>
    </w:p>
    <w:p>
      <w:pPr>
        <w:tabs>
          <w:tab w:val="left" w:pos="1440"/>
        </w:tabs>
        <w:spacing w:after="100"/>
      </w:pPr>
      <w:r>
        <w:rPr>
          <w:rFonts w:ascii="Calibri" w:cs="Calibri" w:eastAsia="Calibri" w:hAnsi="Calibri"/>
          <w:b/>
          <w:bCs/>
          <w:color w:val="990011"/>
          <w:sz w:val="22"/>
          <w:szCs w:val="22"/>
        </w:rPr>
        <w:t xml:space="preserve">Appendix J	</w:t>
      </w:r>
      <w:r>
        <w:rPr>
          <w:rFonts w:ascii="Calibri" w:cs="Calibri" w:eastAsia="Calibri" w:hAnsi="Calibri"/>
          <w:sz w:val="22"/>
          <w:szCs w:val="22"/>
        </w:rPr>
        <w:t xml:space="preserve">Contact Directory (Franchise Development Office, Support, Legal)</w:t>
      </w:r>
    </w:p>
    <w:p>
      <w:pPr>
        <w:spacing w:after="360" w:before="360"/>
      </w:pPr>
      <w:r>
        <w:t xml:space="preserve"/>
      </w:r>
    </w:p>
    <w:p>
      <w:pPr>
        <w:spacing w:after="120" w:line="300"/>
      </w:pPr>
      <w:r>
        <w:rPr>
          <w:rFonts w:ascii="Calibri" w:cs="Calibri" w:eastAsia="Calibri" w:hAnsi="Calibri"/>
          <w:color w:val="6B6B6B"/>
          <w:sz w:val="22"/>
          <w:szCs w:val="22"/>
        </w:rPr>
        <w:t xml:space="preserve">This manual is incomplete without its appendices. Operating a Red Chili franchise without current access to the appendices in the ERP is itself a breach of the franchise agreement.</w:t>
      </w:r>
    </w:p>
    <w:p>
      <w:r>
        <w:br w:type="page"/>
      </w:r>
    </w:p>
    <w:p>
      <w:pPr>
        <w:spacing w:after="2400" w:before="2400"/>
      </w:pPr>
      <w:r>
        <w:t xml:space="preserve"/>
      </w:r>
    </w:p>
    <w:p>
      <w:pPr>
        <w:jc w:val="center"/>
      </w:pPr>
      <w:r>
        <w:rPr>
          <w:rFonts w:ascii="Georgia" w:cs="Georgia" w:eastAsia="Georgia" w:hAnsi="Georgia"/>
          <w:b/>
          <w:bCs/>
          <w:color w:val="990011"/>
          <w:sz w:val="64"/>
          <w:szCs w:val="64"/>
        </w:rPr>
        <w:t xml:space="preserve">RED CHILI</w:t>
      </w:r>
    </w:p>
    <w:p>
      <w:pPr>
        <w:spacing w:after="240"/>
        <w:jc w:val="center"/>
      </w:pPr>
      <w:r>
        <w:rPr>
          <w:rFonts w:ascii="Georgia" w:cs="Georgia" w:eastAsia="Georgia" w:hAnsi="Georgia"/>
          <w:color w:val="1A1A1A"/>
          <w:sz w:val="32"/>
          <w:szCs w:val="32"/>
        </w:rPr>
        <w:t xml:space="preserve">Franchise Operations Manual</w:t>
      </w:r>
    </w:p>
    <w:p>
      <w:pPr>
        <w:spacing w:after="360" w:before="360"/>
      </w:pPr>
      <w:r>
        <w:t xml:space="preserve"/>
      </w:r>
    </w:p>
    <w:p>
      <w:pPr>
        <w:jc w:val="center"/>
      </w:pPr>
      <w:r>
        <w:rPr>
          <w:rFonts w:ascii="Calibri" w:cs="Calibri" w:eastAsia="Calibri" w:hAnsi="Calibri"/>
          <w:color w:val="6B6B6B"/>
          <w:sz w:val="18"/>
          <w:szCs w:val="18"/>
        </w:rPr>
        <w:t xml:space="preserve">© Red Chili Group · v1.0 (Draft) · May 2026</w:t>
      </w:r>
    </w:p>
    <w:p>
      <w:pPr>
        <w:spacing w:before="120"/>
        <w:jc w:val="center"/>
      </w:pPr>
      <w:r>
        <w:rPr>
          <w:rFonts w:ascii="Calibri" w:cs="Calibri" w:eastAsia="Calibri" w:hAnsi="Calibri"/>
          <w:color w:val="C9A961"/>
          <w:sz w:val="16"/>
          <w:szCs w:val="16"/>
        </w:rPr>
        <w:t xml:space="preserve">CONFIDENTIAL · Authorised Use Only</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Calibri" w:cs="Calibri" w:eastAsia="Calibri" w:hAnsi="Calibri"/>
        <w:color w:val="6B6B6B"/>
        <w:sz w:val="16"/>
        <w:szCs w:val="16"/>
      </w:rPr>
      <w:t xml:space="preserve">Page </w:t>
    </w:r>
    <w:r>
      <w:rPr>
        <w:rFonts w:ascii="Calibri" w:cs="Calibri" w:eastAsia="Calibri" w:hAnsi="Calibri"/>
        <w:color w:val="6B6B6B"/>
        <w:sz w:val="16"/>
        <w:szCs w:val="16"/>
      </w:rPr>
      <w:fldChar w:fldCharType="begin"/>
      <w:instrText xml:space="preserve">PAGE</w:instrText>
      <w:fldChar w:fldCharType="separate"/>
      <w:fldChar w:fldCharType="end"/>
    </w:r>
    <w:r>
      <w:rPr>
        <w:rFonts w:ascii="Calibri" w:cs="Calibri" w:eastAsia="Calibri" w:hAnsi="Calibri"/>
        <w:color w:val="6B6B6B"/>
        <w:sz w:val="16"/>
        <w:szCs w:val="16"/>
      </w:rPr>
      <w:t xml:space="preserve"> of </w:t>
    </w:r>
    <w:r>
      <w:rPr>
        <w:rFonts w:ascii="Calibri" w:cs="Calibri" w:eastAsia="Calibri" w:hAnsi="Calibri"/>
        <w:color w:val="6B6B6B"/>
        <w:sz w:val="16"/>
        <w:szCs w:val="16"/>
      </w:rPr>
      <w:fldChar w:fldCharType="begin"/>
      <w:instrText xml:space="preserve">NUMPAGES</w:instrText>
      <w:fldChar w:fldCharType="separate"/>
      <w:fldChar w:fldCharType="end"/>
    </w:r>
    <w:r>
      <w:rPr>
        <w:rFonts w:ascii="Calibri" w:cs="Calibri" w:eastAsia="Calibri" w:hAnsi="Calibri"/>
        <w:color w:val="6B6B6B"/>
        <w:sz w:val="16"/>
        <w:szCs w:val="16"/>
      </w:rPr>
      <w:t xml:space="preserve">  ·  © Red Chili Group · v1.0 (Draft)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Calibri" w:cs="Calibri" w:eastAsia="Calibri" w:hAnsi="Calibri"/>
        <w:color w:val="6B6B6B"/>
        <w:sz w:val="16"/>
        <w:szCs w:val="16"/>
      </w:rPr>
      <w:t xml:space="preserve">Red Chili Franchise Operations Manual  ·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80"/>
      <w:outlineLvl w:val="0"/>
    </w:pPr>
    <w:rPr>
      <w:rFonts w:ascii="Georgia" w:cs="Georgia" w:eastAsia="Georgia" w:hAnsi="Georgia"/>
      <w:b/>
      <w:bCs/>
      <w:color w:val="990011"/>
      <w:sz w:val="36"/>
      <w:szCs w:val="36"/>
    </w:rPr>
  </w:style>
  <w:style w:type="paragraph" w:styleId="Heading2">
    <w:name w:val="Heading 2"/>
    <w:basedOn w:val="Normal"/>
    <w:next w:val="Normal"/>
    <w:qFormat/>
    <w:pPr>
      <w:spacing w:after="180" w:before="360"/>
      <w:outlineLvl w:val="1"/>
    </w:pPr>
    <w:rPr>
      <w:rFonts w:ascii="Georgia" w:cs="Georgia" w:eastAsia="Georgia" w:hAnsi="Georgia"/>
      <w:b/>
      <w:bCs/>
      <w:color w:val="990011"/>
      <w:sz w:val="26"/>
      <w:szCs w:val="26"/>
    </w:rPr>
  </w:style>
  <w:style w:type="paragraph" w:styleId="Heading3">
    <w:name w:val="Heading 3"/>
    <w:basedOn w:val="Normal"/>
    <w:next w:val="Normal"/>
    <w:qFormat/>
    <w:pPr>
      <w:spacing w:after="120" w:before="240"/>
      <w:outlineLvl w:val="2"/>
    </w:pPr>
    <w:rPr>
      <w:rFonts w:ascii="Georgia" w:cs="Georgia" w:eastAsia="Georgia" w:hAnsi="Georgia"/>
      <w:b/>
      <w:bCs/>
      <w:color w:val="1A1A1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Chili Franchise Operations Manual</dc:title>
  <dc:creator>NTT Groups | World Business Groups | Vivid Verse Global</dc:creator>
  <cp:lastModifiedBy>Un-named</cp:lastModifiedBy>
  <cp:revision>1</cp:revision>
  <dcterms:created xsi:type="dcterms:W3CDTF">2026-05-06T23:56:53.495Z</dcterms:created>
  <dcterms:modified xsi:type="dcterms:W3CDTF">2026-05-06T23:56:53.513Z</dcterms:modified>
</cp:coreProperties>
</file>

<file path=docProps/custom.xml><?xml version="1.0" encoding="utf-8"?>
<Properties xmlns="http://schemas.openxmlformats.org/officeDocument/2006/custom-properties" xmlns:vt="http://schemas.openxmlformats.org/officeDocument/2006/docPropsVTypes"/>
</file>